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s>
        <w:adjustRightInd w:val="0"/>
        <w:snapToGrid w:val="0"/>
        <w:spacing w:line="600" w:lineRule="exact"/>
        <w:jc w:val="center"/>
        <w:rPr>
          <w:rFonts w:ascii="华文中宋" w:hAnsi="华文中宋" w:eastAsia="华文中宋"/>
          <w:color w:val="auto"/>
          <w:sz w:val="42"/>
          <w:szCs w:val="42"/>
        </w:rPr>
      </w:pPr>
      <w:bookmarkStart w:id="0" w:name="_Toc15666336"/>
      <w:r>
        <w:rPr>
          <w:rFonts w:ascii="华文中宋" w:hAnsi="华文中宋" w:eastAsia="华文中宋"/>
          <w:color w:val="auto"/>
          <w:sz w:val="42"/>
          <w:szCs w:val="42"/>
        </w:rPr>
        <w:t>关于印发《政府和社会资本合作（PPP）项目绩效管理操作指引》的通知</w:t>
      </w:r>
    </w:p>
    <w:p>
      <w:pPr>
        <w:widowControl w:val="0"/>
        <w:numPr>
          <w:ilvl w:val="0"/>
          <w:numId w:val="0"/>
        </w:numPr>
        <w:tabs>
          <w:tab w:val="left" w:pos="1560"/>
        </w:tabs>
        <w:adjustRightInd w:val="0"/>
        <w:snapToGrid w:val="0"/>
        <w:spacing w:line="600" w:lineRule="exact"/>
        <w:ind w:leftChars="200"/>
        <w:jc w:val="center"/>
        <w:outlineLvl w:val="1"/>
        <w:rPr>
          <w:rFonts w:hint="eastAsia" w:ascii="仿宋_GB2312" w:hAnsi="Calibri" w:eastAsia="仿宋_GB2312"/>
          <w:color w:val="auto"/>
          <w:kern w:val="2"/>
          <w:sz w:val="32"/>
          <w:szCs w:val="32"/>
        </w:rPr>
      </w:pPr>
      <w:r>
        <w:rPr>
          <w:rFonts w:hint="eastAsia" w:ascii="仿宋_GB2312" w:hAnsi="Calibri" w:eastAsia="仿宋_GB2312"/>
          <w:color w:val="auto"/>
          <w:kern w:val="2"/>
          <w:sz w:val="32"/>
          <w:szCs w:val="32"/>
        </w:rPr>
        <w:t>财金〔2020〕13号</w:t>
      </w:r>
    </w:p>
    <w:p>
      <w:pPr>
        <w:widowControl w:val="0"/>
        <w:numPr>
          <w:ilvl w:val="0"/>
          <w:numId w:val="0"/>
        </w:numPr>
        <w:tabs>
          <w:tab w:val="left" w:pos="1560"/>
        </w:tabs>
        <w:adjustRightInd w:val="0"/>
        <w:snapToGrid w:val="0"/>
        <w:spacing w:line="600" w:lineRule="exact"/>
        <w:ind w:leftChars="200"/>
        <w:jc w:val="both"/>
        <w:outlineLvl w:val="1"/>
        <w:rPr>
          <w:rFonts w:hint="eastAsia" w:ascii="仿宋_GB2312" w:hAnsi="Calibri" w:eastAsia="仿宋_GB2312"/>
          <w:color w:val="auto"/>
          <w:kern w:val="2"/>
          <w:sz w:val="32"/>
          <w:szCs w:val="32"/>
        </w:rPr>
      </w:pPr>
      <w:r>
        <w:rPr>
          <w:rFonts w:hint="eastAsia" w:ascii="仿宋_GB2312" w:hAnsi="Calibri" w:eastAsia="仿宋_GB2312"/>
          <w:color w:val="auto"/>
          <w:kern w:val="2"/>
          <w:sz w:val="32"/>
          <w:szCs w:val="32"/>
        </w:rPr>
        <w:t>各省、自治区、直辖市、计划单列市财政厅（局），新疆生产建设兵团财政局：</w:t>
      </w:r>
    </w:p>
    <w:p>
      <w:pPr>
        <w:widowControl w:val="0"/>
        <w:numPr>
          <w:ilvl w:val="0"/>
          <w:numId w:val="0"/>
        </w:numPr>
        <w:tabs>
          <w:tab w:val="left" w:pos="1560"/>
        </w:tabs>
        <w:adjustRightInd w:val="0"/>
        <w:snapToGrid w:val="0"/>
        <w:spacing w:line="600" w:lineRule="exact"/>
        <w:ind w:leftChars="200"/>
        <w:jc w:val="both"/>
        <w:outlineLvl w:val="1"/>
        <w:rPr>
          <w:rFonts w:hint="eastAsia" w:ascii="仿宋_GB2312" w:hAnsi="Calibri" w:eastAsia="仿宋_GB2312"/>
          <w:color w:val="auto"/>
          <w:kern w:val="2"/>
          <w:sz w:val="32"/>
          <w:szCs w:val="32"/>
        </w:rPr>
      </w:pPr>
      <w:r>
        <w:rPr>
          <w:rFonts w:hint="eastAsia" w:ascii="仿宋_GB2312" w:hAnsi="Calibri" w:eastAsia="仿宋_GB2312"/>
          <w:color w:val="auto"/>
          <w:kern w:val="2"/>
          <w:sz w:val="32"/>
          <w:szCs w:val="32"/>
        </w:rPr>
        <w:t>　　为规范政府和社会资本合作（PPP）项目全生命周期绩效管理工作，提高公共服务供给</w:t>
      </w:r>
      <w:bookmarkStart w:id="89" w:name="_GoBack"/>
      <w:bookmarkEnd w:id="89"/>
      <w:r>
        <w:rPr>
          <w:rFonts w:hint="eastAsia" w:ascii="仿宋_GB2312" w:hAnsi="Calibri" w:eastAsia="仿宋_GB2312"/>
          <w:color w:val="auto"/>
          <w:kern w:val="2"/>
          <w:sz w:val="32"/>
          <w:szCs w:val="32"/>
        </w:rPr>
        <w:t>质量和效率，保障合作各方合法权益，我们制定了《政府和社会资本合作（PPP）项目绩效管理操作指引》，现印发给你们，请遵照执行。</w:t>
      </w:r>
    </w:p>
    <w:p>
      <w:pPr>
        <w:widowControl w:val="0"/>
        <w:numPr>
          <w:ilvl w:val="0"/>
          <w:numId w:val="0"/>
        </w:numPr>
        <w:tabs>
          <w:tab w:val="left" w:pos="1560"/>
        </w:tabs>
        <w:adjustRightInd w:val="0"/>
        <w:snapToGrid w:val="0"/>
        <w:spacing w:line="600" w:lineRule="exact"/>
        <w:ind w:leftChars="200"/>
        <w:jc w:val="both"/>
        <w:outlineLvl w:val="1"/>
        <w:rPr>
          <w:rFonts w:hint="eastAsia" w:ascii="仿宋_GB2312" w:hAnsi="Calibri" w:eastAsia="仿宋_GB2312"/>
          <w:color w:val="auto"/>
          <w:kern w:val="2"/>
          <w:sz w:val="32"/>
          <w:szCs w:val="32"/>
        </w:rPr>
      </w:pPr>
      <w:r>
        <w:rPr>
          <w:rFonts w:hint="eastAsia" w:ascii="仿宋_GB2312" w:hAnsi="Calibri" w:eastAsia="仿宋_GB2312"/>
          <w:color w:val="auto"/>
          <w:kern w:val="2"/>
          <w:sz w:val="32"/>
          <w:szCs w:val="32"/>
        </w:rPr>
        <w:t>　　附件：政府和社会资本合作（PPP）项目绩效管理操作指引</w:t>
      </w:r>
    </w:p>
    <w:p>
      <w:pPr>
        <w:widowControl w:val="0"/>
        <w:numPr>
          <w:ilvl w:val="0"/>
          <w:numId w:val="0"/>
        </w:numPr>
        <w:tabs>
          <w:tab w:val="left" w:pos="1560"/>
        </w:tabs>
        <w:adjustRightInd w:val="0"/>
        <w:snapToGrid w:val="0"/>
        <w:spacing w:line="600" w:lineRule="exact"/>
        <w:ind w:leftChars="200"/>
        <w:jc w:val="both"/>
        <w:outlineLvl w:val="1"/>
        <w:rPr>
          <w:rFonts w:hint="eastAsia" w:ascii="仿宋_GB2312" w:hAnsi="Calibri" w:eastAsia="仿宋_GB2312"/>
          <w:color w:val="auto"/>
          <w:kern w:val="2"/>
          <w:sz w:val="32"/>
          <w:szCs w:val="32"/>
        </w:rPr>
      </w:pPr>
      <w:r>
        <w:rPr>
          <w:rFonts w:hint="eastAsia" w:ascii="仿宋_GB2312" w:hAnsi="Calibri" w:eastAsia="仿宋_GB2312"/>
          <w:color w:val="auto"/>
          <w:kern w:val="2"/>
          <w:sz w:val="32"/>
          <w:szCs w:val="32"/>
        </w:rPr>
        <w:t> </w:t>
      </w:r>
    </w:p>
    <w:p>
      <w:pPr>
        <w:widowControl w:val="0"/>
        <w:numPr>
          <w:ilvl w:val="0"/>
          <w:numId w:val="0"/>
        </w:numPr>
        <w:tabs>
          <w:tab w:val="left" w:pos="1560"/>
        </w:tabs>
        <w:adjustRightInd w:val="0"/>
        <w:snapToGrid w:val="0"/>
        <w:spacing w:line="600" w:lineRule="exact"/>
        <w:ind w:leftChars="200"/>
        <w:jc w:val="both"/>
        <w:outlineLvl w:val="1"/>
        <w:rPr>
          <w:rFonts w:hint="eastAsia" w:ascii="仿宋_GB2312" w:hAnsi="Calibri" w:eastAsia="仿宋_GB2312"/>
          <w:color w:val="auto"/>
          <w:kern w:val="2"/>
          <w:sz w:val="32"/>
          <w:szCs w:val="32"/>
        </w:rPr>
      </w:pPr>
      <w:r>
        <w:rPr>
          <w:rFonts w:hint="eastAsia" w:ascii="仿宋_GB2312" w:hAnsi="Calibri" w:eastAsia="仿宋_GB2312"/>
          <w:color w:val="auto"/>
          <w:kern w:val="2"/>
          <w:sz w:val="32"/>
          <w:szCs w:val="32"/>
        </w:rPr>
        <w:t>　　</w:t>
      </w:r>
      <w:r>
        <w:rPr>
          <w:rFonts w:hint="eastAsia" w:ascii="仿宋_GB2312" w:hAnsi="Calibri" w:eastAsia="仿宋_GB2312"/>
          <w:color w:val="auto"/>
          <w:kern w:val="2"/>
          <w:sz w:val="32"/>
          <w:szCs w:val="32"/>
          <w:lang w:val="en-US" w:eastAsia="zh-CN"/>
        </w:rPr>
        <w:t xml:space="preserve">                         </w:t>
      </w:r>
      <w:r>
        <w:rPr>
          <w:rFonts w:hint="eastAsia" w:ascii="仿宋_GB2312" w:hAnsi="Calibri" w:eastAsia="仿宋_GB2312"/>
          <w:color w:val="auto"/>
          <w:kern w:val="2"/>
          <w:sz w:val="32"/>
          <w:szCs w:val="32"/>
        </w:rPr>
        <w:t>财  政  部</w:t>
      </w:r>
    </w:p>
    <w:p>
      <w:pPr>
        <w:widowControl w:val="0"/>
        <w:numPr>
          <w:ilvl w:val="0"/>
          <w:numId w:val="0"/>
        </w:numPr>
        <w:tabs>
          <w:tab w:val="left" w:pos="1560"/>
        </w:tabs>
        <w:adjustRightInd w:val="0"/>
        <w:snapToGrid w:val="0"/>
        <w:spacing w:line="600" w:lineRule="exact"/>
        <w:ind w:leftChars="200"/>
        <w:jc w:val="both"/>
        <w:outlineLvl w:val="1"/>
        <w:rPr>
          <w:rFonts w:hint="eastAsia" w:ascii="仿宋_GB2312" w:hAnsi="Calibri" w:eastAsia="仿宋_GB2312"/>
          <w:color w:val="auto"/>
          <w:kern w:val="2"/>
          <w:sz w:val="32"/>
          <w:szCs w:val="32"/>
        </w:rPr>
      </w:pPr>
      <w:r>
        <w:rPr>
          <w:rFonts w:hint="eastAsia" w:ascii="仿宋_GB2312" w:hAnsi="Calibri" w:eastAsia="仿宋_GB2312"/>
          <w:color w:val="auto"/>
          <w:kern w:val="2"/>
          <w:sz w:val="32"/>
          <w:szCs w:val="32"/>
        </w:rPr>
        <w:t>　　</w:t>
      </w:r>
      <w:r>
        <w:rPr>
          <w:rFonts w:hint="eastAsia" w:ascii="仿宋_GB2312" w:hAnsi="Calibri" w:eastAsia="仿宋_GB2312"/>
          <w:color w:val="auto"/>
          <w:kern w:val="2"/>
          <w:sz w:val="32"/>
          <w:szCs w:val="32"/>
          <w:lang w:val="en-US" w:eastAsia="zh-CN"/>
        </w:rPr>
        <w:t xml:space="preserve">                      </w:t>
      </w:r>
      <w:r>
        <w:rPr>
          <w:rFonts w:hint="eastAsia" w:ascii="仿宋_GB2312" w:hAnsi="Calibri" w:eastAsia="仿宋_GB2312"/>
          <w:color w:val="auto"/>
          <w:kern w:val="2"/>
          <w:sz w:val="32"/>
          <w:szCs w:val="32"/>
        </w:rPr>
        <w:t>2020年3月16日</w:t>
      </w: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hint="eastAsia" w:ascii="黑体" w:hAnsi="黑体" w:eastAsia="黑体"/>
          <w:color w:val="auto"/>
          <w:sz w:val="32"/>
          <w:szCs w:val="32"/>
        </w:rPr>
      </w:pPr>
    </w:p>
    <w:p>
      <w:pPr>
        <w:tabs>
          <w:tab w:val="left" w:pos="1701"/>
        </w:tabs>
        <w:adjustRightInd w:val="0"/>
        <w:snapToGrid w:val="0"/>
        <w:spacing w:line="600" w:lineRule="exact"/>
        <w:rPr>
          <w:rFonts w:ascii="黑体" w:hAnsi="黑体" w:eastAsia="黑体"/>
          <w:color w:val="auto"/>
          <w:sz w:val="32"/>
          <w:szCs w:val="32"/>
        </w:rPr>
      </w:pPr>
      <w:r>
        <w:rPr>
          <w:rFonts w:hint="eastAsia" w:ascii="黑体" w:hAnsi="黑体" w:eastAsia="黑体"/>
          <w:color w:val="auto"/>
          <w:sz w:val="32"/>
          <w:szCs w:val="32"/>
        </w:rPr>
        <w:t>附件：</w:t>
      </w:r>
    </w:p>
    <w:p>
      <w:pPr>
        <w:tabs>
          <w:tab w:val="left" w:pos="1701"/>
        </w:tabs>
        <w:adjustRightInd w:val="0"/>
        <w:snapToGrid w:val="0"/>
        <w:spacing w:line="600" w:lineRule="exact"/>
        <w:rPr>
          <w:rFonts w:ascii="华文中宋" w:hAnsi="华文中宋" w:eastAsia="华文中宋"/>
          <w:color w:val="auto"/>
          <w:sz w:val="42"/>
          <w:szCs w:val="42"/>
        </w:rPr>
      </w:pPr>
    </w:p>
    <w:p>
      <w:pPr>
        <w:tabs>
          <w:tab w:val="left" w:pos="1701"/>
        </w:tabs>
        <w:adjustRightInd w:val="0"/>
        <w:snapToGrid w:val="0"/>
        <w:spacing w:line="600" w:lineRule="exact"/>
        <w:jc w:val="center"/>
        <w:rPr>
          <w:rFonts w:ascii="华文中宋" w:hAnsi="华文中宋" w:eastAsia="华文中宋"/>
          <w:color w:val="auto"/>
          <w:sz w:val="42"/>
          <w:szCs w:val="42"/>
        </w:rPr>
      </w:pPr>
      <w:r>
        <w:rPr>
          <w:rFonts w:ascii="华文中宋" w:hAnsi="华文中宋" w:eastAsia="华文中宋"/>
          <w:color w:val="auto"/>
          <w:sz w:val="42"/>
          <w:szCs w:val="42"/>
        </w:rPr>
        <w:t>政府和社会资本合作</w:t>
      </w:r>
      <w:r>
        <w:rPr>
          <w:rFonts w:hint="eastAsia" w:ascii="华文中宋" w:hAnsi="华文中宋" w:eastAsia="华文中宋"/>
          <w:color w:val="auto"/>
          <w:sz w:val="42"/>
          <w:szCs w:val="42"/>
        </w:rPr>
        <w:t>（PPP）项目</w:t>
      </w:r>
    </w:p>
    <w:p>
      <w:pPr>
        <w:tabs>
          <w:tab w:val="left" w:pos="1701"/>
        </w:tabs>
        <w:adjustRightInd w:val="0"/>
        <w:snapToGrid w:val="0"/>
        <w:spacing w:line="600" w:lineRule="exact"/>
        <w:jc w:val="center"/>
        <w:rPr>
          <w:rFonts w:ascii="华文中宋" w:hAnsi="华文中宋" w:eastAsia="华文中宋"/>
          <w:color w:val="auto"/>
          <w:sz w:val="42"/>
          <w:szCs w:val="42"/>
        </w:rPr>
      </w:pPr>
      <w:r>
        <w:rPr>
          <w:rFonts w:ascii="华文中宋" w:hAnsi="华文中宋" w:eastAsia="华文中宋"/>
          <w:color w:val="auto"/>
          <w:sz w:val="42"/>
          <w:szCs w:val="42"/>
        </w:rPr>
        <w:t>绩效管理操作指引</w:t>
      </w:r>
    </w:p>
    <w:p>
      <w:pPr>
        <w:widowControl w:val="0"/>
        <w:tabs>
          <w:tab w:val="left" w:pos="1134"/>
          <w:tab w:val="left" w:pos="1701"/>
        </w:tabs>
        <w:adjustRightInd w:val="0"/>
        <w:snapToGrid w:val="0"/>
        <w:spacing w:line="600" w:lineRule="exact"/>
        <w:jc w:val="center"/>
        <w:outlineLvl w:val="0"/>
        <w:rPr>
          <w:rFonts w:eastAsia="黑体"/>
          <w:color w:val="auto"/>
          <w:sz w:val="32"/>
          <w:szCs w:val="28"/>
        </w:rPr>
      </w:pPr>
    </w:p>
    <w:p>
      <w:pPr>
        <w:pStyle w:val="20"/>
        <w:widowControl w:val="0"/>
        <w:numPr>
          <w:ilvl w:val="0"/>
          <w:numId w:val="1"/>
        </w:numPr>
        <w:tabs>
          <w:tab w:val="left" w:pos="1134"/>
          <w:tab w:val="left" w:pos="1701"/>
        </w:tabs>
        <w:adjustRightInd w:val="0"/>
        <w:snapToGrid w:val="0"/>
        <w:spacing w:beforeLines="100" w:afterLines="50" w:line="600" w:lineRule="exact"/>
        <w:ind w:firstLineChars="0"/>
        <w:jc w:val="center"/>
        <w:outlineLvl w:val="0"/>
        <w:rPr>
          <w:rFonts w:eastAsia="黑体"/>
          <w:color w:val="auto"/>
          <w:sz w:val="32"/>
          <w:szCs w:val="28"/>
        </w:rPr>
      </w:pPr>
      <w:r>
        <w:rPr>
          <w:rFonts w:eastAsia="黑体"/>
          <w:color w:val="auto"/>
          <w:sz w:val="32"/>
          <w:szCs w:val="28"/>
        </w:rPr>
        <w:t>总则</w:t>
      </w:r>
      <w:bookmarkEnd w:id="0"/>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为规范政府和社会资本合作项目（以下简称PPP项目）全生命周期绩效管理工作，提高公共服务供给质量和效率，保障合作各方合法权益，根据《中华人民共和国预算法》、《中共中央 国务院关于全面实施预算绩效管理的意见》、《国务院办公厅转发财政部发展改革委人民银行关于在公共服务领域推广政府和社会资本合作模式指导意见的通知》等有关规定，制定本指引。</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PPP项目绩效管理是指在PPP项目全生命周期开展的绩效目标和指标管理、绩效监控、绩效评价及结果应用等项目管理活动。</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w:t>
      </w:r>
      <w:r>
        <w:rPr>
          <w:rFonts w:hint="eastAsia" w:ascii="仿宋_GB2312" w:hAnsi="Calibri" w:eastAsia="仿宋_GB2312"/>
          <w:color w:val="auto"/>
          <w:kern w:val="2"/>
          <w:sz w:val="32"/>
          <w:szCs w:val="32"/>
        </w:rPr>
        <w:t>项目实施机构应在项目所属行业主管部门的指导下开展PPP项目绩效管理工作</w:t>
      </w:r>
      <w:r>
        <w:rPr>
          <w:rFonts w:hint="eastAsia" w:ascii="仿宋_GB2312" w:hAnsi="Calibri" w:eastAsia="仿宋_GB2312"/>
          <w:color w:val="auto"/>
          <w:kern w:val="2"/>
          <w:sz w:val="32"/>
          <w:szCs w:val="32"/>
        </w:rPr>
        <w:t>，必要时可委托第三方机构协助。</w:t>
      </w:r>
    </w:p>
    <w:p>
      <w:pPr>
        <w:widowControl w:val="0"/>
        <w:tabs>
          <w:tab w:val="left" w:pos="1560"/>
        </w:tabs>
        <w:adjustRightInd w:val="0"/>
        <w:snapToGrid w:val="0"/>
        <w:spacing w:line="600" w:lineRule="exact"/>
        <w:ind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各级财政部门</w:t>
      </w:r>
      <w:r>
        <w:rPr>
          <w:rFonts w:hint="eastAsia" w:ascii="仿宋_GB2312" w:hAnsi="Calibri" w:eastAsia="仿宋_GB2312"/>
          <w:color w:val="auto"/>
          <w:kern w:val="2"/>
          <w:sz w:val="32"/>
          <w:szCs w:val="32"/>
        </w:rPr>
        <w:t>负责PPP项目绩效管理制度建设、业务指导及再评价、后评价工作。</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本指引适用于所有PPP项目，包括政府付费、可行性缺口补助和使用者付费项目。</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各参与方应当按照科学规范、公开透明、物有所值、风险分担、诚信履约、按效付费等原则开展PPP项目全生命周期绩效管理。</w:t>
      </w:r>
    </w:p>
    <w:p>
      <w:pPr>
        <w:pStyle w:val="20"/>
        <w:widowControl w:val="0"/>
        <w:numPr>
          <w:ilvl w:val="0"/>
          <w:numId w:val="1"/>
        </w:numPr>
        <w:tabs>
          <w:tab w:val="left" w:pos="1134"/>
          <w:tab w:val="left" w:pos="1701"/>
        </w:tabs>
        <w:adjustRightInd w:val="0"/>
        <w:snapToGrid w:val="0"/>
        <w:spacing w:beforeLines="100" w:afterLines="50" w:line="600" w:lineRule="exact"/>
        <w:ind w:left="1123" w:hanging="1123" w:firstLineChars="0"/>
        <w:jc w:val="center"/>
        <w:outlineLvl w:val="0"/>
        <w:rPr>
          <w:rFonts w:ascii="黑体" w:hAnsi="黑体" w:eastAsia="黑体"/>
          <w:color w:val="auto"/>
          <w:sz w:val="32"/>
          <w:szCs w:val="28"/>
        </w:rPr>
      </w:pPr>
      <w:bookmarkStart w:id="1" w:name="_Toc3896938"/>
      <w:bookmarkEnd w:id="1"/>
      <w:bookmarkStart w:id="2" w:name="_Toc3912937"/>
      <w:bookmarkEnd w:id="2"/>
      <w:bookmarkStart w:id="3" w:name="_Toc3896935"/>
      <w:bookmarkEnd w:id="3"/>
      <w:bookmarkStart w:id="4" w:name="_Toc515920267"/>
      <w:bookmarkEnd w:id="4"/>
      <w:bookmarkStart w:id="5" w:name="_Toc515918919"/>
      <w:bookmarkEnd w:id="5"/>
      <w:bookmarkStart w:id="6" w:name="_Toc3896937"/>
      <w:bookmarkEnd w:id="6"/>
      <w:bookmarkStart w:id="7" w:name="_Toc515919471"/>
      <w:bookmarkEnd w:id="7"/>
      <w:bookmarkStart w:id="8" w:name="_Toc3896936"/>
      <w:bookmarkEnd w:id="8"/>
      <w:bookmarkStart w:id="9" w:name="_Toc515920266"/>
      <w:bookmarkEnd w:id="9"/>
      <w:bookmarkStart w:id="10" w:name="_Toc3912938"/>
      <w:bookmarkEnd w:id="10"/>
      <w:bookmarkStart w:id="11" w:name="_Toc515919470"/>
      <w:bookmarkEnd w:id="11"/>
      <w:bookmarkStart w:id="12" w:name="_Toc515918920"/>
      <w:bookmarkEnd w:id="12"/>
      <w:bookmarkStart w:id="13" w:name="_Toc3912936"/>
      <w:bookmarkEnd w:id="13"/>
      <w:bookmarkStart w:id="14" w:name="_Toc3912939"/>
      <w:bookmarkEnd w:id="14"/>
      <w:bookmarkStart w:id="15" w:name="_Toc15666337"/>
      <w:r>
        <w:rPr>
          <w:rFonts w:ascii="黑体" w:hAnsi="黑体" w:eastAsia="黑体"/>
          <w:color w:val="auto"/>
          <w:sz w:val="32"/>
          <w:szCs w:val="28"/>
        </w:rPr>
        <w:t>PPP项目绩效目标</w:t>
      </w:r>
      <w:r>
        <w:rPr>
          <w:rFonts w:hint="eastAsia" w:ascii="黑体" w:hAnsi="黑体" w:eastAsia="黑体"/>
          <w:color w:val="auto"/>
          <w:sz w:val="32"/>
          <w:szCs w:val="28"/>
        </w:rPr>
        <w:t>与绩效指标管理</w:t>
      </w:r>
      <w:bookmarkEnd w:id="15"/>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项目实施机构负责</w:t>
      </w:r>
      <w:r>
        <w:rPr>
          <w:rFonts w:hint="eastAsia" w:ascii="仿宋_GB2312" w:hAnsi="Calibri" w:eastAsia="仿宋_GB2312"/>
          <w:color w:val="auto"/>
          <w:kern w:val="2"/>
          <w:sz w:val="32"/>
          <w:szCs w:val="32"/>
        </w:rPr>
        <w:t>编制PPP项目绩效目标与绩效指标，报项目所属行业主管部门、财政部门审核。</w:t>
      </w:r>
    </w:p>
    <w:p>
      <w:pPr>
        <w:widowControl w:val="0"/>
        <w:numPr>
          <w:ilvl w:val="0"/>
          <w:numId w:val="2"/>
        </w:numPr>
        <w:tabs>
          <w:tab w:val="left" w:pos="1560"/>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目标包括总体绩效目标和年度绩效目标。总体绩效目标是PPP项目在全生命周期内预期达到的产出和效果；年度绩效目标是根据总体绩效目标和项目实际确定的具体年度预期达到的产出和效果，应当具体、可衡量、可实现。</w:t>
      </w:r>
    </w:p>
    <w:p>
      <w:pPr>
        <w:adjustRightInd w:val="0"/>
        <w:snapToGrid w:val="0"/>
        <w:spacing w:line="600" w:lineRule="exact"/>
        <w:ind w:firstLine="640" w:firstLineChars="200"/>
        <w:jc w:val="both"/>
        <w:rPr>
          <w:rFonts w:ascii="仿宋" w:eastAsia="仿宋"/>
          <w:color w:val="auto"/>
          <w:sz w:val="28"/>
          <w:szCs w:val="28"/>
        </w:rPr>
      </w:pPr>
      <w:r>
        <w:rPr>
          <w:rFonts w:hint="eastAsia" w:ascii="仿宋_GB2312" w:hAnsi="Calibri" w:eastAsia="仿宋_GB2312"/>
          <w:color w:val="auto"/>
          <w:kern w:val="2"/>
          <w:sz w:val="32"/>
          <w:szCs w:val="32"/>
        </w:rPr>
        <w:t>PPP项目绩效目标编制应符合以下要求：</w:t>
      </w:r>
    </w:p>
    <w:p>
      <w:pPr>
        <w:pStyle w:val="18"/>
        <w:tabs>
          <w:tab w:val="left" w:pos="851"/>
        </w:tabs>
        <w:autoSpaceDE w:val="0"/>
        <w:autoSpaceDN w:val="0"/>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（一）指向明确。绩效目标应符合区域经济、社会与行业发展规划，与当地财政收支状况相适应，以结果为导向，反映项目应当提供的公共服务，体现环境-社会-公司治理责任（ESG）理念。</w:t>
      </w:r>
    </w:p>
    <w:p>
      <w:pPr>
        <w:pStyle w:val="18"/>
        <w:tabs>
          <w:tab w:val="left" w:pos="851"/>
        </w:tabs>
        <w:autoSpaceDE w:val="0"/>
        <w:autoSpaceDN w:val="0"/>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（二）细化量化。绩效目标应从产出、效果、管理等方面进行细化，尽量进行定量表述；不能以量化形式表述的，可采用定性表述，但应具有可衡量性。</w:t>
      </w:r>
    </w:p>
    <w:p>
      <w:pPr>
        <w:pStyle w:val="18"/>
        <w:tabs>
          <w:tab w:val="left" w:pos="851"/>
        </w:tabs>
        <w:autoSpaceDE w:val="0"/>
        <w:autoSpaceDN w:val="0"/>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（三）合理可行。绩效目标应经过调查研究和科学论证，符合客观实际，既具有前瞻性，又有可实现性。</w:t>
      </w:r>
    </w:p>
    <w:p>
      <w:pPr>
        <w:pStyle w:val="18"/>
        <w:tabs>
          <w:tab w:val="left" w:pos="851"/>
        </w:tabs>
        <w:autoSpaceDE w:val="0"/>
        <w:autoSpaceDN w:val="0"/>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（四）物有所值。绩效目标应符合物有所值的理念，体现成本效益的要求。</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PPP项目绩效目标应包括预期产出、预期效果及项目管理等内容。</w:t>
      </w:r>
    </w:p>
    <w:p>
      <w:pPr>
        <w:adjustRightInd w:val="0"/>
        <w:snapToGrid w:val="0"/>
        <w:spacing w:line="600" w:lineRule="exact"/>
        <w:ind w:firstLine="640" w:firstLineChars="200"/>
        <w:jc w:val="both"/>
        <w:rPr>
          <w:rFonts w:ascii="仿宋_GB2312" w:hAnsi="Calibri" w:eastAsia="仿宋_GB2312"/>
          <w:color w:val="auto"/>
          <w:kern w:val="2"/>
          <w:sz w:val="32"/>
          <w:szCs w:val="32"/>
        </w:rPr>
      </w:pPr>
      <w:bookmarkStart w:id="16" w:name="_Hlk13575365"/>
      <w:r>
        <w:rPr>
          <w:rFonts w:hint="eastAsia" w:ascii="仿宋_GB2312" w:hAnsi="Calibri" w:eastAsia="仿宋_GB2312"/>
          <w:color w:val="auto"/>
          <w:kern w:val="2"/>
          <w:sz w:val="32"/>
          <w:szCs w:val="32"/>
        </w:rPr>
        <w:t>预期产出是指项目在一定期限内提供公共服务的数量、质量、时效等。</w:t>
      </w:r>
    </w:p>
    <w:bookmarkEnd w:id="16"/>
    <w:p>
      <w:pPr>
        <w:widowControl w:val="0"/>
        <w:adjustRightInd w:val="0"/>
        <w:snapToGrid w:val="0"/>
        <w:spacing w:line="600" w:lineRule="exact"/>
        <w:ind w:firstLine="640" w:firstLineChars="200"/>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预期效果是指项目可能对经济、社会、生态环境等带来的影响情况，物有所值实现程度，可持续发展能力及各方满意程度等。</w:t>
      </w:r>
    </w:p>
    <w:p>
      <w:pPr>
        <w:widowControl w:val="0"/>
        <w:adjustRightInd w:val="0"/>
        <w:snapToGrid w:val="0"/>
        <w:spacing w:line="600" w:lineRule="exact"/>
        <w:ind w:firstLine="640" w:firstLineChars="200"/>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项目管理是指项目全生命周期内的预算、监督、组织、财务、制度、档案、信息公开等管理情况。</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PPP项目绩效指标是衡量绩效目标实现程度的工具，应按照系统性、重要性、相关性、可比性和经济性的原则，结合预期产出、预期效果和项目管理等绩效目标细化量化后合理设定。</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PPP项目绩效指标体系由绩效指标、指标解释、指标权重、数据来源、评价标准与评分方法构成。</w:t>
      </w:r>
    </w:p>
    <w:p>
      <w:pPr>
        <w:pStyle w:val="18"/>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指标权重是指标在评价体系中的相对重要程度。确定指标权重的方法通常包括专家调查法、层次分析法、主成分分析法、熵值法等。</w:t>
      </w:r>
    </w:p>
    <w:p>
      <w:pPr>
        <w:pStyle w:val="18"/>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数据来源是在具体指标评价过程中获得可靠和真实数据或信息的载体或途径。获取数据的方法通常包括案卷研究、资料收集与数据填报、实地调研、座谈会、问卷调查等。</w:t>
      </w:r>
    </w:p>
    <w:p>
      <w:pPr>
        <w:adjustRightInd w:val="0"/>
        <w:snapToGrid w:val="0"/>
        <w:spacing w:line="600" w:lineRule="exact"/>
        <w:ind w:firstLine="649" w:firstLineChars="203"/>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评价标准是指衡量绩效目标完成程度的尺度。绩效评价标准具体包括计划标准、行业标准、历史标准或其他经相关主管部门确认的标准。</w:t>
      </w:r>
    </w:p>
    <w:p>
      <w:pPr>
        <w:adjustRightInd w:val="0"/>
        <w:snapToGrid w:val="0"/>
        <w:spacing w:line="600" w:lineRule="exact"/>
        <w:ind w:firstLine="649" w:firstLineChars="203"/>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评分方法是结合指标权重，衡量实际绩效值与评价标准值偏离程度，对不同的等级赋予不同分值的方法。</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PPP项目绩效目标与绩效指标各阶段管理应符合以下要求：</w:t>
      </w:r>
    </w:p>
    <w:p>
      <w:pPr>
        <w:pStyle w:val="19"/>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（一）PPP项目准备阶段，项目实施机构应根据项目立项文件、历史资料，结合PPP模式特点，在项目实施方案中编制总体绩效目标和绩效指标体系并充分征求相关部门、潜在社会资本等相关方面的意见。</w:t>
      </w:r>
      <w:r>
        <w:rPr>
          <w:rFonts w:hint="eastAsia" w:ascii="仿宋_GB2312" w:hAnsi="Calibri" w:eastAsia="仿宋_GB2312" w:cs="Times New Roman"/>
          <w:color w:val="auto"/>
          <w:sz w:val="32"/>
          <w:szCs w:val="32"/>
        </w:rPr>
        <w:t>财政部门应会同相关主管部门从依据充分性、设置合理性和目标实现保障度等方面进行审核。</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w:t>
      </w:r>
      <w:r>
        <w:rPr>
          <w:rFonts w:hint="eastAsia" w:ascii="仿宋_GB2312" w:hAnsi="Calibri" w:eastAsia="仿宋_GB2312" w:cs="Times New Roman"/>
          <w:color w:val="auto"/>
          <w:sz w:val="32"/>
          <w:szCs w:val="32"/>
        </w:rPr>
        <w:t>PPP项目采购阶段，项目实施机构可结合社会资本响应及合同谈判情况对绩效指标体系中非实质性内容进行合理调整。</w:t>
      </w:r>
      <w:r>
        <w:rPr>
          <w:rFonts w:hint="eastAsia" w:ascii="仿宋_GB2312" w:hAnsi="Calibri" w:eastAsia="仿宋_GB2312" w:cs="Times New Roman"/>
          <w:color w:val="auto"/>
          <w:sz w:val="32"/>
          <w:szCs w:val="32"/>
        </w:rPr>
        <w:t>PPP项目绩效目标和指标体系应在项目合同中予以明确。</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（三）PPP项目执行阶段，</w:t>
      </w:r>
      <w:bookmarkStart w:id="17" w:name="_Toc512107809"/>
      <w:bookmarkEnd w:id="17"/>
      <w:bookmarkStart w:id="18" w:name="_Toc512107978"/>
      <w:bookmarkEnd w:id="18"/>
      <w:bookmarkStart w:id="19" w:name="_Toc512107981"/>
      <w:bookmarkEnd w:id="19"/>
      <w:bookmarkStart w:id="20" w:name="_Toc512107980"/>
      <w:bookmarkEnd w:id="20"/>
      <w:bookmarkStart w:id="21" w:name="_Toc512107979"/>
      <w:bookmarkEnd w:id="21"/>
      <w:bookmarkStart w:id="22" w:name="_Toc512107807"/>
      <w:bookmarkEnd w:id="22"/>
      <w:bookmarkStart w:id="23" w:name="_Toc512107892"/>
      <w:bookmarkEnd w:id="23"/>
      <w:bookmarkStart w:id="24" w:name="_Toc512107808"/>
      <w:bookmarkEnd w:id="24"/>
      <w:bookmarkStart w:id="25" w:name="_Toc512107893"/>
      <w:bookmarkEnd w:id="25"/>
      <w:bookmarkStart w:id="26" w:name="_Toc512107898"/>
      <w:bookmarkEnd w:id="26"/>
      <w:bookmarkStart w:id="27" w:name="_Toc512107813"/>
      <w:bookmarkEnd w:id="27"/>
      <w:bookmarkStart w:id="28" w:name="_Toc512107891"/>
      <w:bookmarkEnd w:id="28"/>
      <w:bookmarkStart w:id="29" w:name="_Toc512107806"/>
      <w:bookmarkEnd w:id="29"/>
      <w:bookmarkStart w:id="30" w:name="_Toc512107894"/>
      <w:bookmarkEnd w:id="30"/>
      <w:bookmarkStart w:id="31" w:name="_Toc512107985"/>
      <w:bookmarkEnd w:id="31"/>
      <w:r>
        <w:rPr>
          <w:rFonts w:hint="eastAsia" w:ascii="仿宋_GB2312" w:hAnsi="Calibri" w:eastAsia="仿宋_GB2312" w:cs="Times New Roman"/>
          <w:color w:val="auto"/>
          <w:sz w:val="32"/>
          <w:szCs w:val="32"/>
        </w:rPr>
        <w:t>绩效目标和指标体系原则上不予调整。但因项目实施内容、相关政策、行业标准发生变化或突发事件、不可抗力等无法预见的重大变化影响绩效目标实现而</w:t>
      </w:r>
      <w:r>
        <w:rPr>
          <w:rFonts w:hint="eastAsia" w:ascii="仿宋_GB2312" w:hAnsi="Calibri" w:eastAsia="仿宋_GB2312" w:cs="Times New Roman"/>
          <w:color w:val="auto"/>
          <w:sz w:val="32"/>
          <w:szCs w:val="32"/>
        </w:rPr>
        <w:t>确需调整的</w:t>
      </w:r>
      <w:r>
        <w:rPr>
          <w:rFonts w:hint="eastAsia" w:ascii="仿宋_GB2312" w:hAnsi="Calibri" w:eastAsia="仿宋_GB2312" w:cs="Times New Roman"/>
          <w:color w:val="auto"/>
          <w:sz w:val="32"/>
          <w:szCs w:val="32"/>
        </w:rPr>
        <w:t>，由项目实施机构和项目公司（未设立项目公司时为社会资本，下同）协商确定，经</w:t>
      </w:r>
      <w:r>
        <w:rPr>
          <w:rFonts w:hint="eastAsia" w:ascii="仿宋_GB2312" w:hAnsi="Calibri" w:eastAsia="仿宋_GB2312" w:cs="Times New Roman"/>
          <w:color w:val="auto"/>
          <w:sz w:val="32"/>
          <w:szCs w:val="32"/>
        </w:rPr>
        <w:t>财政部门及</w:t>
      </w:r>
      <w:r>
        <w:rPr>
          <w:rFonts w:ascii="仿宋_GB2312" w:hAnsi="Calibri" w:eastAsia="仿宋_GB2312" w:cs="Times New Roman"/>
          <w:color w:val="auto"/>
          <w:sz w:val="32"/>
          <w:szCs w:val="32"/>
        </w:rPr>
        <w:t>相关主管</w:t>
      </w:r>
      <w:r>
        <w:rPr>
          <w:rFonts w:hint="eastAsia" w:ascii="仿宋_GB2312" w:hAnsi="Calibri" w:eastAsia="仿宋_GB2312" w:cs="Times New Roman"/>
          <w:color w:val="auto"/>
          <w:sz w:val="32"/>
          <w:szCs w:val="32"/>
        </w:rPr>
        <w:t>部门审核通过后报本级人民政府批准</w:t>
      </w:r>
      <w:r>
        <w:rPr>
          <w:rFonts w:hint="eastAsia" w:ascii="仿宋_GB2312" w:hAnsi="Calibri" w:eastAsia="仿宋_GB2312" w:cs="Times New Roman"/>
          <w:color w:val="auto"/>
          <w:sz w:val="32"/>
          <w:szCs w:val="32"/>
        </w:rPr>
        <w:t>。</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PPP项目移交完成后，</w:t>
      </w:r>
      <w:r>
        <w:rPr>
          <w:rFonts w:hint="eastAsia" w:ascii="仿宋_GB2312" w:hAnsi="Calibri" w:eastAsia="仿宋_GB2312" w:cs="Times New Roman"/>
          <w:color w:val="auto"/>
          <w:sz w:val="32"/>
          <w:szCs w:val="32"/>
        </w:rPr>
        <w:t>财政部门</w:t>
      </w:r>
      <w:r>
        <w:rPr>
          <w:rFonts w:hint="eastAsia" w:ascii="仿宋_GB2312" w:hAnsi="Calibri" w:eastAsia="仿宋_GB2312" w:cs="Times New Roman"/>
          <w:color w:val="auto"/>
          <w:sz w:val="32"/>
          <w:szCs w:val="32"/>
        </w:rPr>
        <w:t>应会同有关部门针对项目总体绩效目标实现情况，从全生命周期的项目产出、成本效益、物有所值实现情况、按效付费执行情况及对本地区财政承受能力的影响、监管成效、可持续性、PPP模式应用等方面</w:t>
      </w:r>
      <w:r>
        <w:rPr>
          <w:rFonts w:hint="eastAsia" w:ascii="仿宋_GB2312" w:hAnsi="Calibri" w:eastAsia="仿宋_GB2312" w:cs="Times New Roman"/>
          <w:color w:val="auto"/>
          <w:sz w:val="32"/>
          <w:szCs w:val="32"/>
        </w:rPr>
        <w:t>编制绩效评价（即后评价）指标体系</w:t>
      </w:r>
      <w:r>
        <w:rPr>
          <w:rFonts w:hint="eastAsia" w:ascii="仿宋_GB2312" w:hAnsi="Calibri" w:eastAsia="仿宋_GB2312" w:cs="Times New Roman"/>
          <w:color w:val="auto"/>
          <w:sz w:val="32"/>
          <w:szCs w:val="32"/>
        </w:rPr>
        <w:t>。</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项目公司（社会资本）对绩效目标或指标体系调整结果有异议的，可申请召开评审会，就调整结果的科学性、合理性、可行性等进行评审。双方对评审意见无异议的，按评审意见完善后履行报批程序；仍有异议的，按照合同约定的争议解决机制处理。</w:t>
      </w:r>
    </w:p>
    <w:p>
      <w:pPr>
        <w:widowControl w:val="0"/>
        <w:numPr>
          <w:ilvl w:val="0"/>
          <w:numId w:val="2"/>
        </w:numPr>
        <w:tabs>
          <w:tab w:val="left" w:pos="1701"/>
          <w:tab w:val="left" w:pos="1985"/>
        </w:tabs>
        <w:autoSpaceDE w:val="0"/>
        <w:autoSpaceDN w:val="0"/>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编制政府付费和可行性缺口补助PPP项目年度支出预算时，应将年度绩效目标和指标连同编制的预算申报材料一并报送财政部门审核。使用者付费PPP项目参照执行。</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ascii="黑体" w:hAnsi="黑体" w:eastAsia="黑体"/>
          <w:color w:val="auto"/>
          <w:sz w:val="32"/>
          <w:szCs w:val="28"/>
        </w:rPr>
      </w:pPr>
      <w:bookmarkStart w:id="32" w:name="_Toc3896941"/>
      <w:bookmarkEnd w:id="32"/>
      <w:bookmarkStart w:id="33" w:name="_Toc512107950"/>
      <w:bookmarkEnd w:id="33"/>
      <w:bookmarkStart w:id="34" w:name="_Toc512107780"/>
      <w:bookmarkEnd w:id="34"/>
      <w:bookmarkStart w:id="35" w:name="_Toc512107863"/>
      <w:bookmarkEnd w:id="35"/>
      <w:bookmarkStart w:id="36" w:name="_Toc512107866"/>
      <w:bookmarkEnd w:id="36"/>
      <w:bookmarkStart w:id="37" w:name="_Toc512107953"/>
      <w:bookmarkEnd w:id="37"/>
      <w:bookmarkStart w:id="38" w:name="_Toc512107778"/>
      <w:bookmarkEnd w:id="38"/>
      <w:bookmarkStart w:id="39" w:name="_Toc512107781"/>
      <w:bookmarkEnd w:id="39"/>
      <w:bookmarkStart w:id="40" w:name="_Toc3912941"/>
      <w:bookmarkEnd w:id="40"/>
      <w:bookmarkStart w:id="41" w:name="_Toc3912942"/>
      <w:bookmarkEnd w:id="41"/>
      <w:bookmarkStart w:id="42" w:name="_Toc512108014"/>
      <w:bookmarkEnd w:id="42"/>
      <w:bookmarkStart w:id="43" w:name="_Toc512108015"/>
      <w:bookmarkEnd w:id="43"/>
      <w:bookmarkStart w:id="44" w:name="_Toc512107864"/>
      <w:bookmarkEnd w:id="44"/>
      <w:bookmarkStart w:id="45" w:name="_Toc512107779"/>
      <w:bookmarkEnd w:id="45"/>
      <w:bookmarkStart w:id="46" w:name="_Toc3896940"/>
      <w:bookmarkEnd w:id="46"/>
      <w:bookmarkStart w:id="47" w:name="_Toc512107951"/>
      <w:bookmarkEnd w:id="47"/>
      <w:bookmarkStart w:id="48" w:name="_Toc512108012"/>
      <w:bookmarkEnd w:id="48"/>
      <w:bookmarkStart w:id="49" w:name="_Toc533798070"/>
      <w:bookmarkEnd w:id="49"/>
      <w:bookmarkStart w:id="50" w:name="_Toc512108013"/>
      <w:bookmarkEnd w:id="50"/>
      <w:bookmarkStart w:id="51" w:name="_Toc512107865"/>
      <w:bookmarkEnd w:id="51"/>
      <w:bookmarkStart w:id="52" w:name="_Toc512107952"/>
      <w:bookmarkEnd w:id="52"/>
      <w:bookmarkStart w:id="53" w:name="_Toc15666338"/>
      <w:r>
        <w:rPr>
          <w:rFonts w:ascii="黑体" w:hAnsi="黑体" w:eastAsia="黑体"/>
          <w:color w:val="auto"/>
          <w:sz w:val="32"/>
          <w:szCs w:val="28"/>
        </w:rPr>
        <w:t>PPP项目绩效监控</w:t>
      </w:r>
      <w:bookmarkEnd w:id="53"/>
    </w:p>
    <w:p>
      <w:pPr>
        <w:widowControl w:val="0"/>
        <w:numPr>
          <w:ilvl w:val="0"/>
          <w:numId w:val="2"/>
        </w:numPr>
        <w:tabs>
          <w:tab w:val="left" w:pos="252"/>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项目实施机构应根据项目合同约定定期开展PPP项目绩效监控，项目公司（社会资本）负责日常绩效监控。</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PPP项目绩效监控是对项目日常运行情况及年度绩效目标实现程度进行的跟踪、监测和管理，通常包括目标实现程度、目标保障措施、目标偏差和纠偏情况等。</w:t>
      </w:r>
    </w:p>
    <w:p>
      <w:pPr>
        <w:widowControl w:val="0"/>
        <w:adjustRightInd w:val="0"/>
        <w:snapToGrid w:val="0"/>
        <w:spacing w:line="600" w:lineRule="exact"/>
        <w:ind w:firstLine="640" w:firstLineChars="200"/>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PPP项目绩效监控应符合以下要求：</w:t>
      </w:r>
    </w:p>
    <w:p>
      <w:pPr>
        <w:pStyle w:val="20"/>
        <w:widowControl w:val="0"/>
        <w:tabs>
          <w:tab w:val="left" w:pos="1418"/>
        </w:tabs>
        <w:adjustRightInd w:val="0"/>
        <w:snapToGrid w:val="0"/>
        <w:spacing w:line="600" w:lineRule="exact"/>
        <w:ind w:firstLine="640"/>
        <w:jc w:val="both"/>
        <w:rPr>
          <w:rFonts w:ascii="仿宋_GB2312" w:hAnsi="Calibri" w:eastAsia="仿宋_GB2312"/>
          <w:color w:val="auto"/>
          <w:sz w:val="32"/>
          <w:szCs w:val="32"/>
        </w:rPr>
      </w:pPr>
      <w:r>
        <w:rPr>
          <w:rFonts w:hint="eastAsia" w:ascii="仿宋_GB2312" w:hAnsi="Calibri" w:eastAsia="仿宋_GB2312"/>
          <w:color w:val="auto"/>
          <w:sz w:val="32"/>
          <w:szCs w:val="32"/>
        </w:rPr>
        <w:t>（一）严格遵照国家规定、行业标准、项目合同约定，按照科学规范、真实客观、重点突出等原则开展绩效监控。重点关注最能代表和反映项目产出及效果的年度绩效目标与指标，客观反映项目运行情况和执行偏差，及时纠偏，改进绩效。</w:t>
      </w:r>
    </w:p>
    <w:p>
      <w:pPr>
        <w:pStyle w:val="20"/>
        <w:widowControl w:val="0"/>
        <w:tabs>
          <w:tab w:val="left" w:pos="1418"/>
        </w:tabs>
        <w:adjustRightInd w:val="0"/>
        <w:snapToGrid w:val="0"/>
        <w:spacing w:line="600" w:lineRule="exact"/>
        <w:ind w:firstLine="640"/>
        <w:jc w:val="both"/>
        <w:rPr>
          <w:rFonts w:ascii="仿宋_GB2312" w:hAnsi="Calibri" w:eastAsia="仿宋_GB2312"/>
          <w:color w:val="auto"/>
          <w:sz w:val="32"/>
          <w:szCs w:val="32"/>
        </w:rPr>
      </w:pPr>
      <w:r>
        <w:rPr>
          <w:rFonts w:hint="eastAsia" w:ascii="仿宋_GB2312" w:hAnsi="Calibri" w:eastAsia="仿宋_GB2312"/>
          <w:color w:val="auto"/>
          <w:sz w:val="32"/>
          <w:szCs w:val="32"/>
        </w:rPr>
        <w:t>（二）项目实施机构应根据PPP项目特点，考虑绩效评价和付费时点，合理选择监控时间、设定监控计划，原则上每年至少开展一次绩效监控。</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PPP项目绩效监控工作通常按照以下程序进行：</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开展绩效监控。项目公司（社会资本）开展PPP项目日常绩效监控，按照项目实施机构要求，定期报送监控结果。项目实施机构应对照绩效监控目标，查找项目绩效运行偏差，分析偏差原因，结合项目实际，提出实施纠偏的路径和方法，并做好信息记录。</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反馈、纠偏与报告。项目实施机构应根据绩效监控发现的偏差情况及时向项目公司（社会资本）和相关部门反馈，并督促其纠偏；偏差原因涉及自身的，项目实施机构应及时纠偏；偏差较大的，应撰写《绩效监控报告》报送相关主管部门和财政部门。</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eastAsia="黑体"/>
          <w:color w:val="auto"/>
          <w:sz w:val="32"/>
          <w:szCs w:val="28"/>
        </w:rPr>
      </w:pPr>
      <w:bookmarkStart w:id="54" w:name="_Toc15666339"/>
      <w:r>
        <w:rPr>
          <w:rFonts w:eastAsia="黑体"/>
          <w:color w:val="auto"/>
          <w:sz w:val="32"/>
          <w:szCs w:val="28"/>
        </w:rPr>
        <w:t>PPP项目绩效评价</w:t>
      </w:r>
      <w:bookmarkEnd w:id="54"/>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项目实施机构应根据项目合同约定，在执行阶段结合年度绩效目标和指标体系开展PPP项目绩效评价。</w:t>
      </w:r>
    </w:p>
    <w:p>
      <w:pPr>
        <w:widowControl w:val="0"/>
        <w:tabs>
          <w:tab w:val="left" w:pos="1701"/>
        </w:tabs>
        <w:adjustRightInd w:val="0"/>
        <w:snapToGrid w:val="0"/>
        <w:spacing w:line="600" w:lineRule="exact"/>
        <w:ind w:firstLine="640" w:firstLineChars="200"/>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财政部门应会同相关主管部门、项目实施机构等在项目移交完成后开展PPP项目后评价。</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PPP项目绩效评价应符合以下要求：</w:t>
      </w:r>
    </w:p>
    <w:p>
      <w:pPr>
        <w:widowControl w:val="0"/>
        <w:tabs>
          <w:tab w:val="left" w:pos="1701"/>
        </w:tabs>
        <w:adjustRightInd w:val="0"/>
        <w:snapToGrid w:val="0"/>
        <w:spacing w:line="600" w:lineRule="exact"/>
        <w:ind w:firstLine="640" w:firstLineChars="200"/>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（一）严格按照规定程序，遵循真实、客观、公正的要求，采用定量与定性分析相结合的方法。</w:t>
      </w:r>
    </w:p>
    <w:p>
      <w:pPr>
        <w:widowControl w:val="0"/>
        <w:tabs>
          <w:tab w:val="left" w:pos="1701"/>
        </w:tabs>
        <w:adjustRightInd w:val="0"/>
        <w:snapToGrid w:val="0"/>
        <w:spacing w:line="600" w:lineRule="exact"/>
        <w:ind w:firstLine="640" w:firstLineChars="200"/>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二）结合PPP项目实施进度及按效付费的需要确定绩效评价时点。原则上项目建设期应结合竣工验收开展一次绩效评价，分期建设的项目应当结合各期子项目竣工验收开展绩效评价；项目运营期每年度应至少开展一次绩效评价，每3-5年应结合年度绩效评价情况对项目开展中期评估；移交完成后应开展一次后评价。</w:t>
      </w:r>
    </w:p>
    <w:p>
      <w:pPr>
        <w:adjustRightInd w:val="0"/>
        <w:snapToGrid w:val="0"/>
        <w:spacing w:line="600" w:lineRule="exact"/>
        <w:ind w:firstLine="640" w:firstLineChars="200"/>
        <w:jc w:val="both"/>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（三）绩效评价结果依法依规公开并接受监督。</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PPP项目绩效评价工作通常按照以下程序进行：</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（一）下达绩效评价通知。项目实施机构确定绩效评价工作开展时间后，应至少提前5个工作日通知项目公司（社会资本）及相关部门做好准备和配合工作。</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制定绩效评价工作方案。项目实施机构应根据政策要求及项目实际组织编制绩效评价工作方案，内容通常包括项目基本情况、绩效目标和指标体系、评价目的和依据、评价对象和范围、评价方法、组织与实施计划、资料收集与调查等。项目实施机构应组织专家对项目建设期、运营期首次及移交完成后绩效评价工作方案进行评审。</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组织实施绩效评价。项目实施机构应根据绩效评价工作方案对PPP项目绩效情况进行客观、公正的评价。通过综合分析、意见征询，区分责任主体，形成客观、公正、全面的绩效评价结果。对于不属于项目公司或社会资本责任造成的绩效偏差，不应影响项目公司（社会资本）绩效评价结果。</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四）编制绩效评价报告。PPP项目绩效评价报告应当依据充分、真实完整、数据准确、客观公正，内容通常包括项目基本情况、绩效评价工作情况、评价结论和绩效分析、存在问题及原因分析、相关建议、其他需要说明的问题。</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五）资料归档。项目实施机构应将绩效评价过程中收集的全部有效资料，主要包括绩效评价工作方案、专家论证意见和建议、实地调研和座谈会记录、调查问卷、绩效评价报告等一并归档，并按照有关档案管理规定妥善管理。</w:t>
      </w:r>
    </w:p>
    <w:p>
      <w:pPr>
        <w:pStyle w:val="18"/>
        <w:tabs>
          <w:tab w:val="left" w:pos="1418"/>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（六）评价结果反馈。项目实施机构应及时向项目公司（社会资本）和相关部门反馈绩效评价结果。</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bookmarkStart w:id="55" w:name="_Toc512107887"/>
      <w:bookmarkEnd w:id="55"/>
      <w:bookmarkStart w:id="56" w:name="_Toc512107800"/>
      <w:bookmarkEnd w:id="56"/>
      <w:bookmarkStart w:id="57" w:name="_Toc512107802"/>
      <w:bookmarkEnd w:id="57"/>
      <w:bookmarkStart w:id="58" w:name="_Toc512107818"/>
      <w:bookmarkEnd w:id="58"/>
      <w:bookmarkStart w:id="59" w:name="_Toc512107972"/>
      <w:bookmarkEnd w:id="59"/>
      <w:bookmarkStart w:id="60" w:name="_Toc512107883"/>
      <w:bookmarkEnd w:id="60"/>
      <w:bookmarkStart w:id="61" w:name="_Toc512107798"/>
      <w:bookmarkEnd w:id="61"/>
      <w:bookmarkStart w:id="62" w:name="_Toc512107970"/>
      <w:bookmarkEnd w:id="62"/>
      <w:bookmarkStart w:id="63" w:name="_Toc512107990"/>
      <w:bookmarkEnd w:id="63"/>
      <w:bookmarkStart w:id="64" w:name="_Toc512107903"/>
      <w:bookmarkEnd w:id="64"/>
      <w:bookmarkStart w:id="65" w:name="_Toc512107885"/>
      <w:bookmarkEnd w:id="65"/>
      <w:bookmarkStart w:id="66" w:name="_Toc512107974"/>
      <w:bookmarkEnd w:id="66"/>
      <w:r>
        <w:rPr>
          <w:rFonts w:hint="eastAsia" w:ascii="仿宋_GB2312" w:hAnsi="Calibri" w:eastAsia="仿宋_GB2312"/>
          <w:color w:val="auto"/>
          <w:kern w:val="2"/>
          <w:sz w:val="32"/>
          <w:szCs w:val="32"/>
        </w:rPr>
        <w:t xml:space="preserve"> 项目公司对绩效评价结果有异议的，应在5个工作日内明确提出并提供有效的佐证材料，向项目实施机构解释说明并达成一致意见。无法达成一致的，应组织召开评审会，双方对评审意见无异议的，根据评审意见确定最终评价结果；仍有异议的，按照合同约定的争议解决机制处理。</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项目实施机构应将</w:t>
      </w:r>
      <w:r>
        <w:rPr>
          <w:rFonts w:hint="eastAsia" w:ascii="仿宋_GB2312" w:hAnsi="Calibri" w:eastAsia="仿宋_GB2312"/>
          <w:color w:val="auto"/>
          <w:kern w:val="2"/>
          <w:sz w:val="32"/>
          <w:szCs w:val="32"/>
        </w:rPr>
        <w:t>PPP项目绩效评价报告报送相关主管部门、财政部门复核</w:t>
      </w:r>
      <w:r>
        <w:rPr>
          <w:rFonts w:hint="eastAsia" w:ascii="仿宋_GB2312" w:hAnsi="Calibri" w:eastAsia="仿宋_GB2312"/>
          <w:color w:val="auto"/>
          <w:kern w:val="2"/>
          <w:sz w:val="32"/>
          <w:szCs w:val="32"/>
        </w:rPr>
        <w:t>，复核重点关注绩效评价工作方案是否落实、引用数据是否真实合理、揭示的问题是否客观公正、提出的改进措施是否有针对性和可操作性等。</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PPP项目绩效评价结果是按效付费、落实整改、监督问责的重要依据。</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（一）按效付费。</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政府付费和可行性缺口补助项目，政府承担的年度运营补贴支出应与当年项目公司（社会资本）绩效评价结果完全挂钩。财政部门应按照绩效评价结果安排相应支出，项目实施机构应按照项目合同约定及时支付。</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使用者付费项目，项目公司（社会资本）获得的项目收益应与当年项目公司（社会资本）绩效评价结果挂钩。绩效评价结果优于约定标准的，项目实施机构应执行项目合同约定的奖励条款。绩效评价结果未达到约定标准的，项目实施机构应执行项目合同约定的违约条款，可通过设置影响项目收益的违约金、项目展期限制或影响调价机制等方式实现。</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绩效评价结果可作为项目期满合同是否展期的考量因素。</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（二）落实整改。</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项目实施机构应根据绩效评价过程中发现的问题统筹开展整改工作，并将整改结果报送相关主管部门和财政部门。涉及自身问题的，项目实施机构应及时整改；涉及项目公司（社会资本）或其他相关部门问题的，项目实施机构应及时督促整改。</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（三）监督问责。</w:t>
      </w:r>
    </w:p>
    <w:p>
      <w:pPr>
        <w:pStyle w:val="21"/>
        <w:adjustRightInd w:val="0"/>
        <w:snapToGrid w:val="0"/>
        <w:spacing w:line="600" w:lineRule="exact"/>
        <w:ind w:firstLine="640"/>
        <w:rPr>
          <w:rFonts w:ascii="仿宋_GB2312" w:hAnsi="Calibri" w:eastAsia="仿宋_GB2312"/>
          <w:color w:val="auto"/>
          <w:sz w:val="32"/>
          <w:szCs w:val="32"/>
        </w:rPr>
      </w:pPr>
      <w:r>
        <w:rPr>
          <w:rFonts w:hint="eastAsia" w:ascii="仿宋_GB2312" w:hAnsi="Calibri" w:eastAsia="仿宋_GB2312"/>
          <w:color w:val="auto"/>
          <w:sz w:val="32"/>
          <w:szCs w:val="32"/>
        </w:rPr>
        <w:t>项目实施机构应及时公开绩效评价结果并接受社会监督；项目实施机构绩效评价结果应纳入其工作考核范畴。</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eastAsia="黑体"/>
          <w:color w:val="auto"/>
          <w:sz w:val="32"/>
          <w:szCs w:val="28"/>
        </w:rPr>
      </w:pPr>
      <w:bookmarkStart w:id="67" w:name="_Toc15666340"/>
      <w:r>
        <w:rPr>
          <w:rFonts w:hint="eastAsia" w:ascii="等线" w:hAnsi="等线" w:eastAsia="黑体"/>
          <w:color w:val="auto"/>
          <w:kern w:val="2"/>
          <w:sz w:val="32"/>
          <w:szCs w:val="28"/>
        </w:rPr>
        <w:t>组织</w:t>
      </w:r>
      <w:bookmarkStart w:id="68" w:name="_Toc3912946"/>
      <w:bookmarkEnd w:id="68"/>
      <w:bookmarkStart w:id="69" w:name="_Toc512107826"/>
      <w:bookmarkEnd w:id="69"/>
      <w:bookmarkStart w:id="70" w:name="_Toc512107827"/>
      <w:bookmarkEnd w:id="70"/>
      <w:bookmarkStart w:id="71" w:name="_Toc3912949"/>
      <w:bookmarkEnd w:id="71"/>
      <w:bookmarkStart w:id="72" w:name="_Toc512107998"/>
      <w:bookmarkEnd w:id="72"/>
      <w:bookmarkStart w:id="73" w:name="_Toc3912945"/>
      <w:bookmarkEnd w:id="73"/>
      <w:bookmarkStart w:id="74" w:name="_Toc512107999"/>
      <w:bookmarkEnd w:id="74"/>
      <w:bookmarkStart w:id="75" w:name="_Toc512107911"/>
      <w:bookmarkEnd w:id="75"/>
      <w:bookmarkStart w:id="76" w:name="_Toc512107997"/>
      <w:bookmarkEnd w:id="76"/>
      <w:bookmarkStart w:id="77" w:name="_Toc3912950"/>
      <w:bookmarkEnd w:id="77"/>
      <w:bookmarkStart w:id="78" w:name="_Toc512107910"/>
      <w:bookmarkEnd w:id="78"/>
      <w:bookmarkStart w:id="79" w:name="_Toc512107825"/>
      <w:bookmarkEnd w:id="79"/>
      <w:bookmarkStart w:id="80" w:name="_Toc512107912"/>
      <w:bookmarkEnd w:id="80"/>
      <w:bookmarkStart w:id="81" w:name="_Toc3912947"/>
      <w:bookmarkEnd w:id="81"/>
      <w:bookmarkStart w:id="82" w:name="_Toc3912948"/>
      <w:bookmarkEnd w:id="82"/>
      <w:r>
        <w:rPr>
          <w:rFonts w:hint="eastAsia" w:eastAsia="黑体"/>
          <w:color w:val="auto"/>
          <w:sz w:val="32"/>
          <w:szCs w:val="28"/>
        </w:rPr>
        <w:t>保障</w:t>
      </w:r>
      <w:bookmarkEnd w:id="67"/>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各级财政部门应会同相关部门，建立健全PPP项目绩效管理工作相关制度和共性指标框架，加强项目识别论证、政府采购、预算收支与绩效管理及信息披露等业务指导，切实做好项目合规性审查，确保项目全生命周期规范实施、高效运营。</w:t>
      </w:r>
    </w:p>
    <w:p>
      <w:pPr>
        <w:pStyle w:val="18"/>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各级财政部门应结合预算绩效管理要求，认真审核PPP项目财政收支预算申请及PPP项目绩效目标和指标体系，充分考虑本级财政承受能力，合理安排财政预算，加强对财政资金使用合规性和有效性的监督。</w:t>
      </w:r>
    </w:p>
    <w:p>
      <w:pPr>
        <w:pStyle w:val="18"/>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各级财政部门可结合每年工作重点，选取重大PPP项目开展绩效再评价。</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各级行业主管部门应按照绩效管理相关制度要求，建立健全本行业、本领域核心绩效指标体系，明确绩效标准；合规履行预算编制、申报和执行程序；加强与财政及其他相关部门的协调配合。</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项目实施机构、项目公司（社会资本）应严格履行合同约定，确保各项工作合法合规。</w:t>
      </w:r>
    </w:p>
    <w:p>
      <w:pPr>
        <w:pStyle w:val="18"/>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项目实施机构应做好PPP项目绩效管理具体工作，并对PPP项目实施规范性、财政资金使用的合规性和有效性负责。</w:t>
      </w:r>
    </w:p>
    <w:p>
      <w:pPr>
        <w:pStyle w:val="18"/>
        <w:tabs>
          <w:tab w:val="left" w:pos="1134"/>
          <w:tab w:val="left" w:pos="1276"/>
          <w:tab w:val="left" w:pos="1418"/>
          <w:tab w:val="left" w:pos="1701"/>
        </w:tabs>
        <w:adjustRightInd w:val="0"/>
        <w:snapToGrid w:val="0"/>
        <w:spacing w:line="600" w:lineRule="exact"/>
        <w:ind w:firstLine="64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项目公司（社会资本）应做好项目投资、建设、运营、维护、移交等工作的日常管理和信息记录；积极配合开展PPP项目绩效管理工作，并对所提供资料和信息的真实性、完整性、有效性负责。</w:t>
      </w:r>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各级财政部门应会同相关主管部门依托PPP综合信息平台，加强PPP项目信息管理。项目实施机构、项目公司（社会资本）应根据项目实际进展及时提供和更新PPP项目绩效管理相关信息，做好信息公开，接受社会监督。</w:t>
      </w:r>
    </w:p>
    <w:p>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ascii="黑体" w:hAnsi="黑体" w:eastAsia="黑体"/>
          <w:color w:val="auto"/>
          <w:sz w:val="32"/>
          <w:szCs w:val="28"/>
        </w:rPr>
      </w:pPr>
      <w:bookmarkStart w:id="83" w:name="_Toc15666341"/>
      <w:r>
        <w:rPr>
          <w:rFonts w:hint="eastAsia" w:ascii="黑体" w:hAnsi="黑体" w:eastAsia="黑体"/>
          <w:color w:val="auto"/>
          <w:sz w:val="32"/>
          <w:szCs w:val="28"/>
        </w:rPr>
        <w:t>附则</w:t>
      </w:r>
      <w:bookmarkEnd w:id="83"/>
    </w:p>
    <w:p>
      <w:pPr>
        <w:widowControl w:val="0"/>
        <w:numPr>
          <w:ilvl w:val="0"/>
          <w:numId w:val="2"/>
        </w:numPr>
        <w:tabs>
          <w:tab w:val="left" w:pos="1843"/>
          <w:tab w:val="left" w:pos="1985"/>
        </w:tabs>
        <w:adjustRightInd w:val="0"/>
        <w:snapToGrid w:val="0"/>
        <w:spacing w:line="600" w:lineRule="exact"/>
        <w:ind w:left="0"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 xml:space="preserve"> 本指引自印发之日起30日后施行。</w:t>
      </w:r>
    </w:p>
    <w:p>
      <w:pPr>
        <w:widowControl w:val="0"/>
        <w:tabs>
          <w:tab w:val="left" w:pos="1843"/>
          <w:tab w:val="left" w:pos="1985"/>
        </w:tabs>
        <w:adjustRightInd w:val="0"/>
        <w:snapToGrid w:val="0"/>
        <w:spacing w:line="600" w:lineRule="exact"/>
        <w:ind w:firstLine="640" w:firstLineChars="200"/>
        <w:jc w:val="both"/>
        <w:outlineLvl w:val="1"/>
        <w:rPr>
          <w:rFonts w:ascii="仿宋_GB2312" w:hAnsi="Calibri" w:eastAsia="仿宋_GB2312"/>
          <w:color w:val="auto"/>
          <w:kern w:val="2"/>
          <w:sz w:val="32"/>
          <w:szCs w:val="32"/>
        </w:rPr>
      </w:pPr>
      <w:r>
        <w:rPr>
          <w:rFonts w:hint="eastAsia" w:ascii="仿宋_GB2312" w:hAnsi="Calibri" w:eastAsia="仿宋_GB2312"/>
          <w:color w:val="auto"/>
          <w:kern w:val="2"/>
          <w:sz w:val="32"/>
          <w:szCs w:val="32"/>
        </w:rPr>
        <w:t>本指引施行前已发布中标通知书的项目，沿用采购文件或项目合同中约定的绩效评价指标及结果应用等条款，按照本指引开展绩效监控、绩效评价相关工作，绩效目标与绩效指标体系不完善的，可参照本指引进行补充完善。</w:t>
      </w:r>
    </w:p>
    <w:p>
      <w:pPr>
        <w:widowControl w:val="0"/>
        <w:tabs>
          <w:tab w:val="left" w:pos="1134"/>
          <w:tab w:val="left" w:pos="1701"/>
        </w:tabs>
        <w:adjustRightInd w:val="0"/>
        <w:snapToGrid w:val="0"/>
        <w:spacing w:line="600" w:lineRule="exact"/>
        <w:ind w:firstLine="568" w:firstLineChars="202"/>
        <w:outlineLvl w:val="0"/>
        <w:rPr>
          <w:rFonts w:ascii="仿宋" w:eastAsia="仿宋"/>
          <w:b/>
          <w:sz w:val="28"/>
          <w:szCs w:val="28"/>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widowControl w:val="0"/>
        <w:adjustRightInd w:val="0"/>
        <w:snapToGrid w:val="0"/>
        <w:spacing w:line="600" w:lineRule="exact"/>
        <w:ind w:firstLine="640" w:firstLineChars="200"/>
        <w:rPr>
          <w:rFonts w:ascii="仿宋_GB2312" w:eastAsia="仿宋_GB2312"/>
          <w:sz w:val="32"/>
          <w:szCs w:val="28"/>
        </w:rPr>
      </w:pPr>
      <w:r>
        <w:rPr>
          <w:rFonts w:hint="eastAsia" w:ascii="仿宋_GB2312" w:eastAsia="仿宋_GB2312"/>
          <w:sz w:val="32"/>
          <w:szCs w:val="28"/>
        </w:rPr>
        <w:t>附件：1.PPP项目全生命周期绩效管理导图</w:t>
      </w:r>
    </w:p>
    <w:p>
      <w:pPr>
        <w:widowControl w:val="0"/>
        <w:adjustRightInd w:val="0"/>
        <w:snapToGrid w:val="0"/>
        <w:spacing w:line="600" w:lineRule="exact"/>
        <w:ind w:firstLine="1600" w:firstLineChars="500"/>
        <w:rPr>
          <w:rFonts w:ascii="仿宋_GB2312" w:eastAsia="仿宋_GB2312"/>
          <w:sz w:val="32"/>
          <w:szCs w:val="28"/>
        </w:rPr>
      </w:pPr>
      <w:r>
        <w:rPr>
          <w:rFonts w:hint="eastAsia" w:ascii="仿宋_GB2312" w:eastAsia="仿宋_GB2312"/>
          <w:sz w:val="32"/>
          <w:szCs w:val="28"/>
        </w:rPr>
        <w:t>2.PPP项目绩效评价工作方案（参考）</w:t>
      </w:r>
    </w:p>
    <w:p>
      <w:pPr>
        <w:adjustRightInd w:val="0"/>
        <w:snapToGrid w:val="0"/>
        <w:spacing w:line="600" w:lineRule="exact"/>
        <w:ind w:firstLine="1600" w:firstLineChars="500"/>
        <w:rPr>
          <w:rFonts w:ascii="仿宋_GB2312" w:eastAsia="仿宋_GB2312"/>
          <w:sz w:val="32"/>
          <w:szCs w:val="28"/>
        </w:rPr>
      </w:pPr>
      <w:r>
        <w:rPr>
          <w:rFonts w:hint="eastAsia" w:ascii="仿宋_GB2312" w:eastAsia="仿宋_GB2312"/>
          <w:sz w:val="32"/>
          <w:szCs w:val="28"/>
        </w:rPr>
        <w:t>3.PPP项目绩效评价报告（参考）</w:t>
      </w:r>
    </w:p>
    <w:p>
      <w:pPr>
        <w:adjustRightInd w:val="0"/>
        <w:snapToGrid w:val="0"/>
        <w:spacing w:line="600" w:lineRule="exact"/>
        <w:ind w:firstLine="1600" w:firstLineChars="500"/>
        <w:rPr>
          <w:rFonts w:ascii="仿宋_GB2312" w:eastAsia="仿宋_GB2312"/>
          <w:sz w:val="32"/>
          <w:szCs w:val="28"/>
        </w:rPr>
      </w:pPr>
      <w:bookmarkStart w:id="84" w:name="_Toc15666343"/>
      <w:r>
        <w:rPr>
          <w:rFonts w:hint="eastAsia" w:ascii="仿宋_GB2312" w:eastAsia="仿宋_GB2312"/>
          <w:sz w:val="32"/>
          <w:szCs w:val="28"/>
        </w:rPr>
        <w:t>4.PPP项目建设期绩效评价共性指标框架（参考）</w:t>
      </w:r>
    </w:p>
    <w:p>
      <w:pPr>
        <w:adjustRightInd w:val="0"/>
        <w:snapToGrid w:val="0"/>
        <w:spacing w:line="600" w:lineRule="exact"/>
        <w:ind w:firstLine="1600" w:firstLineChars="500"/>
        <w:rPr>
          <w:rFonts w:ascii="仿宋_GB2312" w:eastAsia="仿宋_GB2312"/>
          <w:sz w:val="32"/>
          <w:szCs w:val="28"/>
        </w:rPr>
      </w:pPr>
      <w:r>
        <w:rPr>
          <w:rFonts w:hint="eastAsia" w:ascii="仿宋_GB2312" w:eastAsia="仿宋_GB2312"/>
          <w:sz w:val="32"/>
          <w:szCs w:val="28"/>
        </w:rPr>
        <w:t>5.PPP项目运营期绩效评价共性指标框架（参考）</w:t>
      </w:r>
    </w:p>
    <w:p>
      <w:pPr>
        <w:widowControl w:val="0"/>
        <w:spacing w:line="600" w:lineRule="exact"/>
        <w:rPr>
          <w:rFonts w:ascii="楷体_GB2312" w:eastAsia="楷体_GB2312"/>
          <w:sz w:val="28"/>
          <w:szCs w:val="28"/>
        </w:rPr>
      </w:pPr>
      <w:r>
        <w:rPr>
          <w:rFonts w:hint="eastAsia" w:ascii="楷体_GB2312" w:eastAsia="楷体_GB2312"/>
          <w:sz w:val="28"/>
          <w:szCs w:val="28"/>
        </w:rPr>
        <w:br w:type="page"/>
      </w:r>
    </w:p>
    <w:p>
      <w:pPr>
        <w:pStyle w:val="2"/>
        <w:adjustRightInd w:val="0"/>
        <w:snapToGrid w:val="0"/>
        <w:spacing w:before="0" w:after="0" w:line="600" w:lineRule="exact"/>
        <w:rPr>
          <w:rFonts w:ascii="黑体" w:hAnsi="黑体" w:eastAsia="黑体"/>
          <w:b w:val="0"/>
          <w:bCs w:val="0"/>
          <w:sz w:val="28"/>
          <w:szCs w:val="28"/>
        </w:rPr>
      </w:pPr>
      <w:r>
        <w:rPr>
          <w:rFonts w:hint="eastAsia" w:ascii="黑体" w:hAnsi="黑体" w:eastAsia="黑体"/>
          <w:b w:val="0"/>
          <w:bCs w:val="0"/>
          <w:sz w:val="28"/>
          <w:szCs w:val="28"/>
        </w:rPr>
        <w:t>附1：</w:t>
      </w:r>
    </w:p>
    <w:p>
      <w:pPr>
        <w:pStyle w:val="2"/>
        <w:adjustRightInd w:val="0"/>
        <w:snapToGrid w:val="0"/>
        <w:spacing w:before="0" w:after="0" w:line="600" w:lineRule="exact"/>
        <w:jc w:val="center"/>
        <w:rPr>
          <w:rFonts w:ascii="黑体" w:hAnsi="黑体" w:eastAsia="黑体"/>
          <w:b w:val="0"/>
          <w:bCs w:val="0"/>
          <w:sz w:val="28"/>
          <w:szCs w:val="28"/>
        </w:rPr>
      </w:pPr>
      <w:r>
        <w:rPr>
          <w:rFonts w:ascii="黑体" w:hAnsi="黑体" w:eastAsia="黑体"/>
          <w:b w:val="0"/>
          <w:bCs w:val="0"/>
          <w:sz w:val="28"/>
          <w:szCs w:val="28"/>
        </w:rPr>
        <w:drawing>
          <wp:anchor distT="0" distB="0" distL="114300" distR="114300" simplePos="0" relativeHeight="251658240" behindDoc="0" locked="0" layoutInCell="1" allowOverlap="1">
            <wp:simplePos x="0" y="0"/>
            <wp:positionH relativeFrom="column">
              <wp:posOffset>-133350</wp:posOffset>
            </wp:positionH>
            <wp:positionV relativeFrom="paragraph">
              <wp:posOffset>571500</wp:posOffset>
            </wp:positionV>
            <wp:extent cx="5591175" cy="7172325"/>
            <wp:effectExtent l="19050" t="0" r="9525" b="0"/>
            <wp:wrapTopAndBottom/>
            <wp:docPr id="1" name="图片 1" descr="微信图片_2020031116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61254"/>
                    <pic:cNvPicPr>
                      <a:picLocks noChangeAspect="1"/>
                    </pic:cNvPicPr>
                  </pic:nvPicPr>
                  <pic:blipFill>
                    <a:blip r:embed="rId6"/>
                    <a:srcRect l="6799" t="9363" r="7330" b="20736"/>
                    <a:stretch>
                      <a:fillRect/>
                    </a:stretch>
                  </pic:blipFill>
                  <pic:spPr>
                    <a:xfrm>
                      <a:off x="0" y="0"/>
                      <a:ext cx="5591175" cy="7172325"/>
                    </a:xfrm>
                    <a:prstGeom prst="rect">
                      <a:avLst/>
                    </a:prstGeom>
                  </pic:spPr>
                </pic:pic>
              </a:graphicData>
            </a:graphic>
          </wp:anchor>
        </w:drawing>
      </w:r>
      <w:r>
        <w:rPr>
          <w:rFonts w:ascii="黑体" w:hAnsi="黑体" w:eastAsia="黑体"/>
          <w:b w:val="0"/>
          <w:bCs w:val="0"/>
          <w:sz w:val="28"/>
          <w:szCs w:val="28"/>
        </w:rPr>
        <w:t>PPP</w:t>
      </w:r>
      <w:r>
        <w:rPr>
          <w:rFonts w:hint="eastAsia" w:ascii="黑体" w:hAnsi="黑体" w:eastAsia="黑体"/>
          <w:b w:val="0"/>
          <w:bCs w:val="0"/>
          <w:sz w:val="28"/>
          <w:szCs w:val="28"/>
        </w:rPr>
        <w:t>项目全生命周期绩效管理导图</w:t>
      </w:r>
      <w:bookmarkEnd w:id="84"/>
    </w:p>
    <w:p>
      <w:pPr>
        <w:pStyle w:val="5"/>
        <w:spacing w:line="600" w:lineRule="exact"/>
      </w:pPr>
    </w:p>
    <w:p>
      <w:pPr>
        <w:widowControl w:val="0"/>
        <w:tabs>
          <w:tab w:val="left" w:pos="1134"/>
          <w:tab w:val="left" w:pos="1701"/>
        </w:tabs>
        <w:adjustRightInd w:val="0"/>
        <w:snapToGrid w:val="0"/>
        <w:spacing w:line="600" w:lineRule="exact"/>
        <w:ind w:right="-58" w:rightChars="-24"/>
        <w:outlineLvl w:val="0"/>
        <w:rPr>
          <w:rFonts w:eastAsia="黑体"/>
          <w:sz w:val="28"/>
          <w:szCs w:val="28"/>
        </w:rPr>
        <w:sectPr>
          <w:pgSz w:w="11906" w:h="16838"/>
          <w:pgMar w:top="1440" w:right="1800" w:bottom="1440" w:left="180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5" w:name="_Toc15666344"/>
      <w:r>
        <w:rPr>
          <w:rFonts w:hint="eastAsia" w:ascii="黑体" w:hAnsi="黑体" w:eastAsia="黑体"/>
          <w:b w:val="0"/>
          <w:bCs w:val="0"/>
          <w:sz w:val="28"/>
          <w:szCs w:val="28"/>
        </w:rPr>
        <w:t>附2：</w:t>
      </w:r>
    </w:p>
    <w:p>
      <w:pPr>
        <w:pStyle w:val="2"/>
        <w:adjustRightInd w:val="0"/>
        <w:snapToGrid w:val="0"/>
        <w:spacing w:before="0" w:after="0" w:line="600" w:lineRule="exact"/>
        <w:ind w:firstLine="562"/>
        <w:jc w:val="center"/>
        <w:rPr>
          <w:rFonts w:ascii="黑体" w:hAnsi="黑体" w:eastAsia="黑体"/>
          <w:sz w:val="28"/>
          <w:szCs w:val="28"/>
        </w:rPr>
      </w:pPr>
      <w:r>
        <w:rPr>
          <w:rFonts w:ascii="黑体" w:hAnsi="黑体" w:eastAsia="黑体"/>
          <w:sz w:val="28"/>
          <w:szCs w:val="28"/>
        </w:rPr>
        <w:t>PPP</w:t>
      </w:r>
      <w:r>
        <w:rPr>
          <w:rFonts w:hint="eastAsia" w:ascii="黑体" w:hAnsi="黑体" w:eastAsia="黑体"/>
          <w:sz w:val="28"/>
          <w:szCs w:val="28"/>
        </w:rPr>
        <w:t>项目绩效评价工作方案（参考）</w:t>
      </w:r>
      <w:bookmarkEnd w:id="85"/>
    </w:p>
    <w:p>
      <w:pPr>
        <w:ind w:firstLine="480"/>
        <w:rPr>
          <w:kern w:val="44"/>
        </w:rPr>
      </w:pPr>
    </w:p>
    <w:tbl>
      <w:tblPr>
        <w:tblStyle w:val="13"/>
        <w:tblW w:w="8771"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055" w:hRule="atLeast"/>
          <w:jc w:val="center"/>
        </w:trPr>
        <w:tc>
          <w:tcPr>
            <w:tcW w:w="8771" w:type="dxa"/>
          </w:tcPr>
          <w:p>
            <w:pPr>
              <w:pStyle w:val="21"/>
              <w:adjustRightInd w:val="0"/>
              <w:snapToGrid w:val="0"/>
              <w:spacing w:line="600" w:lineRule="exact"/>
              <w:ind w:firstLine="0" w:firstLineChars="0"/>
              <w:jc w:val="center"/>
              <w:rPr>
                <w:rFonts w:ascii="Times New Roman" w:hAnsi="Times New Roman" w:eastAsia="黑体"/>
                <w:kern w:val="0"/>
                <w:sz w:val="32"/>
                <w:szCs w:val="32"/>
              </w:rPr>
            </w:pPr>
          </w:p>
          <w:p>
            <w:pPr>
              <w:pStyle w:val="21"/>
              <w:adjustRightInd w:val="0"/>
              <w:snapToGrid w:val="0"/>
              <w:spacing w:line="600" w:lineRule="exact"/>
              <w:ind w:firstLine="0" w:firstLineChars="0"/>
              <w:jc w:val="center"/>
              <w:rPr>
                <w:rFonts w:ascii="Times New Roman" w:hAnsi="Times New Roman" w:eastAsia="黑体"/>
                <w:kern w:val="0"/>
                <w:sz w:val="32"/>
                <w:szCs w:val="32"/>
              </w:rPr>
            </w:pPr>
            <w:r>
              <w:rPr>
                <w:rFonts w:ascii="Times New Roman" w:hAnsi="Times New Roman" w:eastAsia="黑体"/>
                <w:kern w:val="0"/>
                <w:sz w:val="32"/>
                <w:szCs w:val="32"/>
              </w:rPr>
              <w:t>PPP</w:t>
            </w:r>
            <w:r>
              <w:rPr>
                <w:rFonts w:hint="eastAsia" w:ascii="Times New Roman" w:hAnsi="Times New Roman" w:eastAsia="黑体"/>
                <w:kern w:val="0"/>
                <w:sz w:val="32"/>
                <w:szCs w:val="32"/>
              </w:rPr>
              <w:t>项目绩效评价工作方案</w:t>
            </w:r>
          </w:p>
          <w:p>
            <w:pPr>
              <w:pStyle w:val="21"/>
              <w:adjustRightInd w:val="0"/>
              <w:snapToGrid w:val="0"/>
              <w:spacing w:line="600" w:lineRule="exact"/>
              <w:ind w:firstLine="0" w:firstLineChars="0"/>
              <w:jc w:val="center"/>
              <w:rPr>
                <w:rFonts w:ascii="Times New Roman" w:hAnsi="Times New Roman" w:eastAsia="黑体"/>
                <w:kern w:val="0"/>
                <w:sz w:val="28"/>
                <w:szCs w:val="28"/>
              </w:rPr>
            </w:pPr>
            <w:r>
              <w:rPr>
                <w:rFonts w:hint="eastAsia" w:ascii="Times New Roman" w:hAnsi="Times New Roman" w:eastAsia="黑体"/>
                <w:kern w:val="0"/>
                <w:sz w:val="28"/>
                <w:szCs w:val="28"/>
              </w:rPr>
              <w:t>（参考）</w:t>
            </w:r>
          </w:p>
          <w:p>
            <w:pPr>
              <w:pStyle w:val="21"/>
              <w:adjustRightInd w:val="0"/>
              <w:snapToGrid w:val="0"/>
              <w:spacing w:line="600" w:lineRule="exact"/>
              <w:ind w:firstLine="0" w:firstLineChars="0"/>
              <w:jc w:val="center"/>
              <w:rPr>
                <w:rFonts w:ascii="Times New Roman" w:hAnsi="Times New Roman" w:eastAsia="黑体"/>
                <w:b/>
                <w:bCs/>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03"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（一）项目概况。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（二）项目产出说明。</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9"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（三）绩效目标和指标体系。</w:t>
            </w:r>
          </w:p>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P</w:t>
            </w:r>
            <w:r>
              <w:rPr>
                <w:rFonts w:ascii="Times New Roman" w:hAnsi="Times New Roman" w:eastAsia="仿宋_GB2312"/>
                <w:kern w:val="0"/>
                <w:sz w:val="28"/>
                <w:szCs w:val="28"/>
              </w:rPr>
              <w:t>PP</w:t>
            </w:r>
            <w:r>
              <w:rPr>
                <w:rFonts w:hint="eastAsia" w:ascii="Times New Roman" w:hAnsi="Times New Roman" w:eastAsia="仿宋_GB2312"/>
                <w:kern w:val="0"/>
                <w:sz w:val="28"/>
                <w:szCs w:val="28"/>
              </w:rPr>
              <w:t>项目合同约定的绩效目标与指标体系、年度绩效目标与指标体系及调整情况。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（四）项目主要参与方。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说明项目主要参与方职责及参与情况，主要参与方通常包括项目公司（社会资本）、项目实施机构、相关主管部门及其他相关政府部门，项目服务对象及社会公众等其他相关方。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（五）项目实施情况。</w:t>
            </w:r>
          </w:p>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项目实施进展情况、实施内容调整及变更情况等。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二、绩效评价思路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（一）绩效评价目的和依据。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确定评价工作基本导向，明确绩效评价工作开展所要达到的目标和结果。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评价依据通常包括P</w:t>
            </w:r>
            <w:r>
              <w:rPr>
                <w:rFonts w:ascii="Times New Roman" w:hAnsi="Times New Roman" w:eastAsia="仿宋_GB2312"/>
                <w:kern w:val="0"/>
                <w:sz w:val="28"/>
                <w:szCs w:val="28"/>
              </w:rPr>
              <w:t>PP</w:t>
            </w:r>
            <w:r>
              <w:rPr>
                <w:rFonts w:hint="eastAsia" w:ascii="Times New Roman" w:hAnsi="Times New Roman" w:eastAsia="仿宋_GB2312"/>
                <w:kern w:val="0"/>
                <w:sz w:val="28"/>
                <w:szCs w:val="28"/>
              </w:rPr>
              <w:t>项目合同，项目相关法律、法规和规章制度，相关行业标准及专业技术规范等。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（二）绩效评价对象和范围。</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sz w:val="28"/>
                <w:szCs w:val="28"/>
              </w:rPr>
              <w:t>评价对象为</w:t>
            </w:r>
            <w:r>
              <w:rPr>
                <w:rFonts w:ascii="Times New Roman" w:hAnsi="Times New Roman" w:eastAsia="仿宋_GB2312"/>
                <w:sz w:val="28"/>
                <w:szCs w:val="28"/>
              </w:rPr>
              <w:t>PPP</w:t>
            </w:r>
            <w:r>
              <w:rPr>
                <w:rFonts w:hint="eastAsia" w:ascii="Times New Roman" w:hAnsi="Times New Roman" w:eastAsia="仿宋_GB2312"/>
                <w:sz w:val="28"/>
                <w:szCs w:val="28"/>
              </w:rPr>
              <w:t>项目，评价范围包括项目产出、项目实施效果和项目管理等。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color w:val="000000" w:themeColor="text1"/>
                <w:kern w:val="0"/>
                <w:sz w:val="28"/>
                <w:szCs w:val="28"/>
              </w:rPr>
            </w:pPr>
            <w:r>
              <w:rPr>
                <w:rFonts w:hint="eastAsia" w:ascii="Times New Roman" w:hAnsi="Times New Roman" w:eastAsia="仿宋_GB2312"/>
                <w:color w:val="000000" w:themeColor="text1"/>
                <w:kern w:val="0"/>
                <w:sz w:val="28"/>
                <w:szCs w:val="28"/>
              </w:rPr>
              <w:t>（三）绩效评价时段。</w:t>
            </w:r>
          </w:p>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项目本次被评价的时间范围，应明确具体的起止时间。</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（四）绩效评价方法。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明确开展绩效评价所选用的相关评价方法及原因。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三、绩效评价组织与实施</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（一）明确项目负责人及项目团队的职责与分工。</w:t>
            </w:r>
          </w:p>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（二）明确各个环节及各项工作的时间节点及工作计划。</w:t>
            </w:r>
          </w:p>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（三）明确绩效评价工作质量控制措施。</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76" w:hRule="atLeast"/>
          <w:jc w:val="center"/>
        </w:trPr>
        <w:tc>
          <w:tcPr>
            <w:tcW w:w="8771" w:type="dxa"/>
          </w:tcPr>
          <w:p>
            <w:pPr>
              <w:pStyle w:val="21"/>
              <w:adjustRightInd w:val="0"/>
              <w:snapToGrid w:val="0"/>
              <w:spacing w:line="600" w:lineRule="exact"/>
              <w:ind w:firstLine="562"/>
              <w:rPr>
                <w:rFonts w:ascii="Times New Roman" w:hAnsi="Times New Roman" w:eastAsia="仿宋_GB2312"/>
                <w:b/>
                <w:kern w:val="0"/>
                <w:sz w:val="28"/>
                <w:szCs w:val="28"/>
              </w:rPr>
            </w:pPr>
            <w:r>
              <w:rPr>
                <w:rFonts w:hint="eastAsia" w:ascii="Times New Roman" w:hAnsi="Times New Roman" w:eastAsia="仿宋_GB2312"/>
                <w:b/>
                <w:kern w:val="0"/>
                <w:sz w:val="28"/>
                <w:szCs w:val="28"/>
              </w:rPr>
              <w:t>四、资料收集与调查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76" w:hRule="atLeast"/>
          <w:jc w:val="center"/>
        </w:trPr>
        <w:tc>
          <w:tcPr>
            <w:tcW w:w="8771"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明确开展绩效评价工作所需的资料收集与调查方案，包括资料收集内容与途径、数据资料来源以及具体的调查方法。</w:t>
            </w:r>
          </w:p>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调查方法通常包括案卷研究、实地调研、座谈会及问卷调查等，应当尽可能明确调查对象、调查方法、调查内容、调查时间及地点等。如果调查对象涉及抽样，应当说明调查对象总体情况、样本总数、抽样方法及抽样比例。</w:t>
            </w:r>
          </w:p>
          <w:p>
            <w:pPr>
              <w:pStyle w:val="21"/>
              <w:adjustRightInd w:val="0"/>
              <w:snapToGrid w:val="0"/>
              <w:spacing w:line="600" w:lineRule="exact"/>
              <w:ind w:firstLine="562"/>
              <w:rPr>
                <w:rFonts w:ascii="Times New Roman" w:hAnsi="Times New Roman" w:eastAsia="仿宋_GB2312"/>
                <w:kern w:val="0"/>
                <w:sz w:val="28"/>
                <w:szCs w:val="28"/>
              </w:rPr>
            </w:pPr>
            <w:r>
              <w:rPr>
                <w:rFonts w:hint="eastAsia" w:ascii="Times New Roman" w:hAnsi="Times New Roman" w:eastAsia="仿宋_GB2312"/>
                <w:b/>
                <w:bCs/>
                <w:kern w:val="0"/>
                <w:sz w:val="28"/>
                <w:szCs w:val="28"/>
              </w:rPr>
              <w:t>五、相关附件</w:t>
            </w:r>
          </w:p>
          <w:p>
            <w:pPr>
              <w:pStyle w:val="21"/>
              <w:adjustRightInd w:val="0"/>
              <w:snapToGrid w:val="0"/>
              <w:spacing w:line="600" w:lineRule="exact"/>
              <w:ind w:firstLine="560"/>
              <w:rPr>
                <w:rFonts w:ascii="Times New Roman" w:hAnsi="Times New Roman" w:eastAsia="仿宋_GB2312"/>
                <w:b/>
                <w:kern w:val="0"/>
                <w:sz w:val="28"/>
                <w:szCs w:val="28"/>
              </w:rPr>
            </w:pPr>
            <w:r>
              <w:rPr>
                <w:rFonts w:hint="eastAsia" w:ascii="Times New Roman" w:hAnsi="Times New Roman" w:eastAsia="仿宋_GB2312"/>
                <w:kern w:val="0"/>
                <w:sz w:val="28"/>
                <w:szCs w:val="28"/>
              </w:rPr>
              <w:t>通常包括资料清单、数据填报格式、访谈提纲及调查问卷等。</w:t>
            </w:r>
          </w:p>
        </w:tc>
      </w:tr>
    </w:tbl>
    <w:p>
      <w:pPr>
        <w:widowControl w:val="0"/>
        <w:spacing w:line="600" w:lineRule="exact"/>
      </w:pPr>
    </w:p>
    <w:p>
      <w:pPr>
        <w:widowControl w:val="0"/>
        <w:tabs>
          <w:tab w:val="left" w:pos="1134"/>
          <w:tab w:val="left" w:pos="1701"/>
        </w:tabs>
        <w:adjustRightInd w:val="0"/>
        <w:snapToGrid w:val="0"/>
        <w:spacing w:line="600" w:lineRule="exact"/>
        <w:outlineLvl w:val="0"/>
        <w:rPr>
          <w:rFonts w:ascii="黑体" w:hAnsi="黑体" w:eastAsia="黑体"/>
          <w:sz w:val="28"/>
          <w:szCs w:val="28"/>
        </w:rPr>
        <w:sectPr>
          <w:pgSz w:w="11906" w:h="16838"/>
          <w:pgMar w:top="1440" w:right="1800" w:bottom="1440" w:left="180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6" w:name="_Toc15666345"/>
      <w:r>
        <w:rPr>
          <w:rFonts w:hint="eastAsia" w:ascii="黑体" w:hAnsi="黑体" w:eastAsia="黑体"/>
          <w:b w:val="0"/>
          <w:bCs w:val="0"/>
          <w:sz w:val="28"/>
          <w:szCs w:val="28"/>
        </w:rPr>
        <w:t>附3：</w:t>
      </w:r>
    </w:p>
    <w:p>
      <w:pPr>
        <w:pStyle w:val="2"/>
        <w:adjustRightInd w:val="0"/>
        <w:snapToGrid w:val="0"/>
        <w:spacing w:before="0" w:after="0" w:line="600" w:lineRule="exact"/>
        <w:jc w:val="center"/>
        <w:rPr>
          <w:rFonts w:ascii="黑体" w:hAnsi="黑体" w:eastAsia="黑体"/>
          <w:b w:val="0"/>
          <w:bCs w:val="0"/>
          <w:sz w:val="28"/>
          <w:szCs w:val="28"/>
        </w:rPr>
      </w:pPr>
      <w:r>
        <w:rPr>
          <w:rFonts w:ascii="黑体" w:hAnsi="黑体" w:eastAsia="黑体"/>
          <w:b w:val="0"/>
          <w:bCs w:val="0"/>
          <w:sz w:val="28"/>
          <w:szCs w:val="28"/>
        </w:rPr>
        <w:t>PPP</w:t>
      </w:r>
      <w:r>
        <w:rPr>
          <w:rFonts w:hint="eastAsia" w:ascii="黑体" w:hAnsi="黑体" w:eastAsia="黑体"/>
          <w:b w:val="0"/>
          <w:bCs w:val="0"/>
          <w:sz w:val="28"/>
          <w:szCs w:val="28"/>
        </w:rPr>
        <w:t>项目绩效评价报告（参考）</w:t>
      </w:r>
      <w:bookmarkEnd w:id="86"/>
    </w:p>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jc w:val="center"/>
              <w:rPr>
                <w:rFonts w:eastAsia="黑体"/>
                <w:sz w:val="28"/>
                <w:szCs w:val="28"/>
              </w:rPr>
            </w:pPr>
          </w:p>
          <w:p>
            <w:pPr>
              <w:widowControl w:val="0"/>
              <w:adjustRightInd w:val="0"/>
              <w:snapToGrid w:val="0"/>
              <w:spacing w:line="600" w:lineRule="exact"/>
              <w:jc w:val="center"/>
              <w:rPr>
                <w:rFonts w:eastAsia="黑体"/>
                <w:sz w:val="32"/>
                <w:szCs w:val="32"/>
              </w:rPr>
            </w:pPr>
            <w:r>
              <w:rPr>
                <w:rFonts w:eastAsia="黑体"/>
                <w:sz w:val="32"/>
                <w:szCs w:val="32"/>
              </w:rPr>
              <w:t>PPP</w:t>
            </w:r>
            <w:r>
              <w:rPr>
                <w:rFonts w:hint="eastAsia" w:eastAsia="黑体"/>
                <w:sz w:val="32"/>
                <w:szCs w:val="32"/>
              </w:rPr>
              <w:t>项目绩效评价报告</w:t>
            </w:r>
          </w:p>
          <w:p>
            <w:pPr>
              <w:widowControl w:val="0"/>
              <w:adjustRightInd w:val="0"/>
              <w:snapToGrid w:val="0"/>
              <w:spacing w:line="600" w:lineRule="exact"/>
              <w:jc w:val="center"/>
              <w:rPr>
                <w:rFonts w:eastAsia="黑体"/>
                <w:sz w:val="28"/>
                <w:szCs w:val="28"/>
              </w:rPr>
            </w:pPr>
            <w:r>
              <w:rPr>
                <w:rFonts w:hint="eastAsia" w:eastAsia="黑体"/>
                <w:sz w:val="28"/>
                <w:szCs w:val="28"/>
              </w:rPr>
              <w:t>（参考）</w:t>
            </w:r>
          </w:p>
          <w:p>
            <w:pPr>
              <w:widowControl w:val="0"/>
              <w:adjustRightInd w:val="0"/>
              <w:snapToGrid w:val="0"/>
              <w:spacing w:line="600" w:lineRule="exact"/>
              <w:jc w:val="both"/>
              <w:rPr>
                <w:rFonts w:ascii="Calibri" w:hAnsi="Calibri" w:eastAsia="仿宋_GB2312"/>
                <w:b/>
                <w:bCs/>
                <w:kern w:val="44"/>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eastAsia="仿宋_GB2312"/>
                <w:b/>
                <w:sz w:val="28"/>
                <w:szCs w:val="28"/>
              </w:rPr>
            </w:pPr>
            <w:r>
              <w:rPr>
                <w:rFonts w:hint="eastAsia" w:eastAsia="仿宋_GB2312"/>
                <w:b/>
                <w:sz w:val="28"/>
                <w:szCs w:val="28"/>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1"/>
              <w:adjustRightInd w:val="0"/>
              <w:snapToGrid w:val="0"/>
              <w:spacing w:line="600" w:lineRule="exact"/>
              <w:ind w:firstLine="560"/>
              <w:rPr>
                <w:rFonts w:ascii="Times New Roman" w:hAnsi="Times New Roman" w:eastAsia="仿宋_GB2312"/>
                <w:sz w:val="28"/>
                <w:szCs w:val="28"/>
              </w:rPr>
            </w:pPr>
            <w:r>
              <w:rPr>
                <w:rFonts w:hint="eastAsia" w:ascii="Times New Roman" w:hAnsi="Times New Roman" w:eastAsia="仿宋_GB2312"/>
                <w:kern w:val="0"/>
                <w:sz w:val="28"/>
                <w:szCs w:val="28"/>
              </w:rPr>
              <w:t>（一）项目概况。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简述项目背景、P</w:t>
            </w:r>
            <w:r>
              <w:rPr>
                <w:rFonts w:eastAsia="仿宋_GB2312"/>
                <w:sz w:val="28"/>
                <w:szCs w:val="28"/>
              </w:rPr>
              <w:t>PP</w:t>
            </w:r>
            <w:r>
              <w:rPr>
                <w:rFonts w:hint="eastAsia" w:eastAsia="仿宋_GB2312"/>
                <w:sz w:val="28"/>
                <w:szCs w:val="28"/>
              </w:rPr>
              <w:t>模式基本安排，包括基本信息、运作模式、回报机制、交易结构等内容。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（二）项目绩效目标。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（三）项目主要参与方。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（四）项目实施情况。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1"/>
              <w:adjustRightInd w:val="0"/>
              <w:snapToGrid w:val="0"/>
              <w:spacing w:line="600" w:lineRule="exact"/>
              <w:ind w:firstLine="560"/>
              <w:rPr>
                <w:rFonts w:ascii="Times New Roman" w:hAnsi="Times New Roman" w:eastAsia="仿宋_GB2312"/>
                <w:kern w:val="0"/>
                <w:sz w:val="28"/>
                <w:szCs w:val="28"/>
              </w:rPr>
            </w:pPr>
            <w:r>
              <w:rPr>
                <w:rFonts w:hint="eastAsia" w:ascii="Times New Roman" w:hAnsi="Times New Roman" w:eastAsia="仿宋_GB2312"/>
                <w:kern w:val="0"/>
                <w:sz w:val="28"/>
                <w:szCs w:val="28"/>
              </w:rPr>
              <w:t>包</w:t>
            </w:r>
            <w:r>
              <w:rPr>
                <w:rFonts w:hint="eastAsia" w:ascii="Times New Roman" w:hAnsi="Times New Roman" w:eastAsia="仿宋_GB2312"/>
                <w:sz w:val="28"/>
                <w:szCs w:val="28"/>
              </w:rPr>
              <w:t>括项目实施的具体内容、范围、计划及进展情况等。如果项目内容在实施期内发生变更，应当说明变更的内容、依据及变更程序。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1"/>
              <w:adjustRightInd w:val="0"/>
              <w:snapToGrid w:val="0"/>
              <w:spacing w:line="600" w:lineRule="exact"/>
              <w:ind w:firstLine="560"/>
              <w:rPr>
                <w:rFonts w:ascii="Times New Roman" w:hAnsi="Times New Roman" w:eastAsia="仿宋_GB2312"/>
                <w:sz w:val="28"/>
                <w:szCs w:val="28"/>
              </w:rPr>
            </w:pPr>
            <w:r>
              <w:rPr>
                <w:rFonts w:hint="eastAsia" w:ascii="Times New Roman" w:hAnsi="Times New Roman" w:eastAsia="仿宋_GB2312"/>
                <w:kern w:val="0"/>
                <w:sz w:val="28"/>
                <w:szCs w:val="28"/>
              </w:rPr>
              <w:t>（五）资金来源和使用情况。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项目资金来源与使用情况、投融资管理情况、财务管理状况、预算情况等。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二、绩效评价工作情况</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trPr>
        <w:tc>
          <w:tcPr>
            <w:tcW w:w="8522" w:type="dxa"/>
          </w:tcPr>
          <w:p>
            <w:pPr>
              <w:pStyle w:val="22"/>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（一）绩效评价目的。</w:t>
            </w:r>
          </w:p>
          <w:p>
            <w:pPr>
              <w:pStyle w:val="22"/>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（二）绩效评价对象、范围与时段。</w:t>
            </w:r>
          </w:p>
          <w:p>
            <w:pPr>
              <w:pStyle w:val="22"/>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（三）绩效评价工作方案制定过程。</w:t>
            </w:r>
          </w:p>
          <w:p>
            <w:pPr>
              <w:pStyle w:val="22"/>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（四）绩效评价原则与方法。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（五）绩效评价实施过程。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（六）数据收集方法。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（七）绩效评价的局限性（如有）。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三、评价结论和绩效分析</w:t>
            </w:r>
          </w:p>
          <w:p>
            <w:pPr>
              <w:pStyle w:val="22"/>
              <w:widowControl w:val="0"/>
              <w:adjustRightInd w:val="0"/>
              <w:snapToGrid w:val="0"/>
              <w:spacing w:line="600" w:lineRule="exact"/>
              <w:ind w:firstLine="560"/>
              <w:jc w:val="both"/>
              <w:rPr>
                <w:rFonts w:ascii="仿宋_GB2312" w:eastAsia="仿宋_GB2312"/>
                <w:bCs/>
                <w:sz w:val="28"/>
                <w:szCs w:val="28"/>
              </w:rPr>
            </w:pPr>
            <w:r>
              <w:rPr>
                <w:rFonts w:hint="eastAsia" w:ascii="仿宋_GB2312" w:eastAsia="仿宋_GB2312"/>
                <w:bCs/>
                <w:sz w:val="28"/>
                <w:szCs w:val="28"/>
              </w:rPr>
              <w:t>（一）评价结论。</w:t>
            </w:r>
          </w:p>
          <w:p>
            <w:pPr>
              <w:pStyle w:val="22"/>
              <w:widowControl w:val="0"/>
              <w:adjustRightInd w:val="0"/>
              <w:snapToGrid w:val="0"/>
              <w:spacing w:line="600" w:lineRule="exact"/>
              <w:ind w:firstLine="560"/>
              <w:jc w:val="both"/>
              <w:rPr>
                <w:rFonts w:ascii="仿宋_GB2312" w:eastAsia="仿宋_GB2312"/>
                <w:b/>
                <w:sz w:val="28"/>
                <w:szCs w:val="28"/>
              </w:rPr>
            </w:pPr>
            <w:r>
              <w:rPr>
                <w:rFonts w:hint="eastAsia" w:ascii="仿宋_GB2312" w:eastAsia="仿宋_GB2312"/>
                <w:bCs/>
                <w:sz w:val="28"/>
                <w:szCs w:val="28"/>
              </w:rPr>
              <w:t>（二）绩效分析。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0"/>
              <w:jc w:val="both"/>
              <w:rPr>
                <w:rFonts w:eastAsia="仿宋_GB2312"/>
                <w:sz w:val="28"/>
                <w:szCs w:val="28"/>
              </w:rPr>
            </w:pPr>
            <w:r>
              <w:rPr>
                <w:rFonts w:hint="eastAsia" w:ascii="仿宋_GB2312" w:eastAsia="仿宋_GB2312"/>
                <w:sz w:val="28"/>
                <w:szCs w:val="28"/>
              </w:rPr>
              <w:t>对项目产出、效果和管理指标进行分析和评价。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在对绩效指标进行分析和评价时，要充分利用评价工作中所收集的数据，做到定量分析和定性分析相结合。绩效指标评分应当依据充分、数据使用合理恰当，确保绩效评价结果的公正性、客观性、合理性。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四、存在问题及原因分析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通过分析各指标的评价结果，总结项目存在的不足及原因，明确责任主体，为提出相关建议奠定基础。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五、相关建议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通过综合考虑各指标的评价结果，有针对性地对项目存在的不足提出改进措施和建议。措施或建议应当具有较强的可行性、前瞻性及科学性，有利于促进和提高项目绩效水平。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六、绩效评价报告使用限制等其他需要说明的问题。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七、评价主体签章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widowControl w:val="0"/>
              <w:adjustRightInd w:val="0"/>
              <w:snapToGrid w:val="0"/>
              <w:spacing w:line="600" w:lineRule="exact"/>
              <w:ind w:firstLine="560" w:firstLineChars="200"/>
              <w:jc w:val="both"/>
              <w:rPr>
                <w:rFonts w:eastAsia="仿宋_GB2312"/>
                <w:sz w:val="28"/>
                <w:szCs w:val="28"/>
              </w:rPr>
            </w:pPr>
            <w:r>
              <w:rPr>
                <w:rFonts w:hint="eastAsia" w:eastAsia="仿宋_GB2312"/>
                <w:sz w:val="28"/>
                <w:szCs w:val="28"/>
              </w:rPr>
              <w:t>绩效评价报告应当由评价主体加盖公章。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2"/>
              <w:jc w:val="both"/>
              <w:rPr>
                <w:rFonts w:ascii="仿宋_GB2312" w:eastAsia="仿宋_GB2312"/>
                <w:b/>
                <w:sz w:val="28"/>
                <w:szCs w:val="28"/>
              </w:rPr>
            </w:pPr>
          </w:p>
          <w:p>
            <w:pPr>
              <w:pStyle w:val="22"/>
              <w:widowControl w:val="0"/>
              <w:adjustRightInd w:val="0"/>
              <w:snapToGrid w:val="0"/>
              <w:spacing w:line="600" w:lineRule="exact"/>
              <w:ind w:firstLine="562"/>
              <w:jc w:val="both"/>
              <w:rPr>
                <w:rFonts w:eastAsia="仿宋_GB2312"/>
                <w:b/>
                <w:sz w:val="28"/>
                <w:szCs w:val="28"/>
              </w:rPr>
            </w:pPr>
            <w:r>
              <w:rPr>
                <w:rFonts w:hint="eastAsia" w:ascii="仿宋_GB2312" w:eastAsia="仿宋_GB2312"/>
                <w:b/>
                <w:sz w:val="28"/>
                <w:szCs w:val="28"/>
              </w:rPr>
              <w:t>八、相关附件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522" w:type="dxa"/>
          </w:tcPr>
          <w:p>
            <w:pPr>
              <w:pStyle w:val="22"/>
              <w:widowControl w:val="0"/>
              <w:adjustRightInd w:val="0"/>
              <w:snapToGrid w:val="0"/>
              <w:spacing w:line="600" w:lineRule="exact"/>
              <w:ind w:firstLine="560"/>
              <w:jc w:val="both"/>
              <w:rPr>
                <w:rFonts w:eastAsia="仿宋_GB2312"/>
                <w:sz w:val="28"/>
                <w:szCs w:val="28"/>
              </w:rPr>
            </w:pPr>
            <w:r>
              <w:rPr>
                <w:rFonts w:hint="eastAsia" w:eastAsia="仿宋_GB2312"/>
                <w:sz w:val="28"/>
                <w:szCs w:val="28"/>
              </w:rPr>
              <w:t>通常包括主要评价依据、</w:t>
            </w:r>
            <w:r>
              <w:rPr>
                <w:rFonts w:hint="eastAsia" w:ascii="仿宋_GB2312" w:eastAsia="仿宋_GB2312"/>
                <w:sz w:val="28"/>
                <w:szCs w:val="28"/>
              </w:rPr>
              <w:t>实地调研和座谈会相关资料、调查问卷汇总信息及其他支持评价结论的相关资料。</w:t>
            </w:r>
          </w:p>
        </w:tc>
      </w:tr>
    </w:tbl>
    <w:p>
      <w:pPr>
        <w:widowControl w:val="0"/>
        <w:tabs>
          <w:tab w:val="left" w:pos="1134"/>
          <w:tab w:val="left" w:pos="1701"/>
        </w:tabs>
        <w:adjustRightInd w:val="0"/>
        <w:snapToGrid w:val="0"/>
        <w:spacing w:line="600" w:lineRule="exact"/>
        <w:ind w:right="-58" w:rightChars="-24"/>
        <w:outlineLvl w:val="0"/>
        <w:rPr>
          <w:rFonts w:eastAsia="黑体"/>
          <w:sz w:val="28"/>
          <w:szCs w:val="28"/>
        </w:rPr>
        <w:sectPr>
          <w:pgSz w:w="11906" w:h="16838"/>
          <w:pgMar w:top="1440" w:right="1800" w:bottom="1440" w:left="180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7" w:name="_Toc15666346"/>
      <w:r>
        <w:rPr>
          <w:rFonts w:hint="eastAsia" w:ascii="黑体" w:hAnsi="黑体" w:eastAsia="黑体"/>
          <w:b w:val="0"/>
          <w:bCs w:val="0"/>
          <w:sz w:val="28"/>
          <w:szCs w:val="28"/>
        </w:rPr>
        <w:t>附4：</w:t>
      </w:r>
    </w:p>
    <w:p>
      <w:pPr>
        <w:pStyle w:val="2"/>
        <w:adjustRightInd w:val="0"/>
        <w:snapToGrid w:val="0"/>
        <w:spacing w:before="0" w:after="0" w:line="600" w:lineRule="exact"/>
        <w:jc w:val="center"/>
        <w:rPr>
          <w:rFonts w:ascii="黑体" w:hAnsi="黑体" w:eastAsia="黑体"/>
          <w:b w:val="0"/>
          <w:bCs w:val="0"/>
          <w:sz w:val="28"/>
          <w:szCs w:val="28"/>
        </w:rPr>
      </w:pPr>
      <w:r>
        <w:rPr>
          <w:rFonts w:ascii="黑体" w:hAnsi="黑体" w:eastAsia="黑体"/>
          <w:b w:val="0"/>
          <w:bCs w:val="0"/>
          <w:sz w:val="28"/>
          <w:szCs w:val="28"/>
        </w:rPr>
        <w:t>PPP</w:t>
      </w:r>
      <w:r>
        <w:rPr>
          <w:rFonts w:hint="eastAsia" w:ascii="黑体" w:hAnsi="黑体" w:eastAsia="黑体"/>
          <w:b w:val="0"/>
          <w:bCs w:val="0"/>
          <w:sz w:val="28"/>
          <w:szCs w:val="28"/>
        </w:rPr>
        <w:t>项目建设期绩效评价共性指标框架（参考）</w:t>
      </w:r>
      <w:bookmarkEnd w:id="87"/>
    </w:p>
    <w:p>
      <w:pPr>
        <w:widowControl w:val="0"/>
        <w:spacing w:line="600" w:lineRule="exact"/>
        <w:jc w:val="center"/>
        <w:rPr>
          <w:rFonts w:ascii="黑体" w:hAnsi="黑体" w:eastAsia="黑体"/>
          <w:sz w:val="28"/>
          <w:szCs w:val="28"/>
        </w:rPr>
      </w:pPr>
      <w:r>
        <w:rPr>
          <w:rFonts w:ascii="黑体" w:hAnsi="黑体" w:eastAsia="黑体"/>
          <w:sz w:val="28"/>
          <w:szCs w:val="28"/>
        </w:rPr>
        <w:t>PPP</w:t>
      </w:r>
      <w:r>
        <w:rPr>
          <w:rFonts w:hint="eastAsia" w:ascii="黑体" w:hAnsi="黑体" w:eastAsia="黑体"/>
          <w:sz w:val="28"/>
          <w:szCs w:val="28"/>
        </w:rPr>
        <w:t>项目绩效评价共性指标框架（参考）——建设期</w:t>
      </w:r>
    </w:p>
    <w:tbl>
      <w:tblPr>
        <w:tblStyle w:val="12"/>
        <w:tblW w:w="9954" w:type="dxa"/>
        <w:jc w:val="center"/>
        <w:tblLayout w:type="fixed"/>
        <w:tblCellMar>
          <w:top w:w="0" w:type="dxa"/>
          <w:left w:w="108" w:type="dxa"/>
          <w:bottom w:w="0" w:type="dxa"/>
          <w:right w:w="108" w:type="dxa"/>
        </w:tblCellMar>
      </w:tblPr>
      <w:tblGrid>
        <w:gridCol w:w="1568"/>
        <w:gridCol w:w="1271"/>
        <w:gridCol w:w="1929"/>
        <w:gridCol w:w="5186"/>
      </w:tblGrid>
      <w:tr>
        <w:tblPrEx>
          <w:tblCellMar>
            <w:top w:w="0" w:type="dxa"/>
            <w:left w:w="108" w:type="dxa"/>
            <w:bottom w:w="0" w:type="dxa"/>
            <w:right w:w="108" w:type="dxa"/>
          </w:tblCellMar>
        </w:tblPrEx>
        <w:trPr>
          <w:trHeight w:val="57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　</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一级指标</w:t>
            </w:r>
          </w:p>
        </w:tc>
        <w:tc>
          <w:tcPr>
            <w:tcW w:w="1929" w:type="dxa"/>
            <w:tcBorders>
              <w:top w:val="single" w:color="auto" w:sz="4" w:space="0"/>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二级指标</w:t>
            </w:r>
          </w:p>
        </w:tc>
        <w:tc>
          <w:tcPr>
            <w:tcW w:w="5186" w:type="dxa"/>
            <w:tcBorders>
              <w:top w:val="single" w:color="auto" w:sz="4" w:space="0"/>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黑体" w:hAnsi="黑体" w:eastAsia="黑体" w:cs="宋体"/>
              </w:rPr>
            </w:pPr>
            <w:r>
              <w:rPr>
                <w:rFonts w:hint="eastAsia" w:ascii="黑体" w:hAnsi="黑体" w:eastAsia="黑体" w:cs="宋体"/>
              </w:rPr>
              <w:t>指标解释</w:t>
            </w:r>
          </w:p>
        </w:tc>
      </w:tr>
      <w:tr>
        <w:tblPrEx>
          <w:tblCellMar>
            <w:top w:w="0" w:type="dxa"/>
            <w:left w:w="108" w:type="dxa"/>
            <w:bottom w:w="0" w:type="dxa"/>
            <w:right w:w="108" w:type="dxa"/>
          </w:tblCellMar>
        </w:tblPrEx>
        <w:trPr>
          <w:jc w:val="center"/>
        </w:trPr>
        <w:tc>
          <w:tcPr>
            <w:tcW w:w="1568"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项目公司</w:t>
            </w:r>
            <w:r>
              <w:rPr>
                <w:rFonts w:ascii="等线" w:hAnsi="等线" w:eastAsia="等线" w:cs="宋体"/>
                <w:b/>
                <w:bCs/>
                <w:sz w:val="22"/>
                <w:szCs w:val="22"/>
              </w:rPr>
              <w:br w:type="textWrapping"/>
            </w:r>
            <w:r>
              <w:rPr>
                <w:rFonts w:hint="eastAsia" w:ascii="等线" w:hAnsi="等线" w:eastAsia="等线" w:cs="宋体"/>
                <w:b/>
                <w:bCs/>
                <w:sz w:val="22"/>
                <w:szCs w:val="22"/>
              </w:rPr>
              <w:t>（社会资本）</w:t>
            </w:r>
            <w:r>
              <w:rPr>
                <w:rFonts w:ascii="等线" w:hAnsi="等线" w:eastAsia="等线" w:cs="宋体"/>
                <w:b/>
                <w:bCs/>
                <w:sz w:val="22"/>
                <w:szCs w:val="22"/>
              </w:rPr>
              <w:br w:type="textWrapping"/>
            </w:r>
            <w:r>
              <w:rPr>
                <w:rFonts w:hint="eastAsia" w:ascii="等线" w:hAnsi="等线" w:eastAsia="等线" w:cs="宋体"/>
                <w:b/>
                <w:bCs/>
                <w:sz w:val="22"/>
                <w:szCs w:val="22"/>
              </w:rPr>
              <w:t>绩效评价</w:t>
            </w:r>
            <w:r>
              <w:rPr>
                <w:rFonts w:ascii="等线" w:hAnsi="等线" w:eastAsia="等线" w:cs="宋体"/>
                <w:b/>
                <w:bCs/>
                <w:sz w:val="22"/>
                <w:szCs w:val="22"/>
              </w:rPr>
              <w:br w:type="textWrapping"/>
            </w:r>
            <w:r>
              <w:rPr>
                <w:rFonts w:hint="eastAsia" w:ascii="等线" w:hAnsi="等线" w:eastAsia="等线" w:cs="宋体"/>
                <w:b/>
                <w:bCs/>
                <w:sz w:val="22"/>
                <w:szCs w:val="22"/>
              </w:rPr>
              <w:t>（</w:t>
            </w:r>
            <w:r>
              <w:rPr>
                <w:rFonts w:ascii="等线" w:hAnsi="等线" w:eastAsia="等线" w:cs="宋体"/>
                <w:b/>
                <w:bCs/>
                <w:sz w:val="22"/>
                <w:szCs w:val="22"/>
              </w:rPr>
              <w:t>100分）</w:t>
            </w:r>
          </w:p>
        </w:tc>
        <w:tc>
          <w:tcPr>
            <w:tcW w:w="1271"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color w:val="000000"/>
                <w:sz w:val="22"/>
                <w:szCs w:val="22"/>
              </w:rPr>
            </w:pPr>
            <w:r>
              <w:rPr>
                <w:rFonts w:hint="eastAsia" w:ascii="等线" w:hAnsi="等线" w:eastAsia="等线" w:cs="宋体"/>
                <w:b/>
                <w:bCs/>
                <w:color w:val="000000"/>
                <w:sz w:val="22"/>
                <w:szCs w:val="22"/>
              </w:rPr>
              <w:t>产出</w:t>
            </w: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竣工验收</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评价项目是否通过竣工验收及竣工验收情况。</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color w:val="000000"/>
                <w:sz w:val="22"/>
                <w:szCs w:val="22"/>
              </w:rPr>
            </w:pPr>
            <w:r>
              <w:rPr>
                <w:rFonts w:hint="eastAsia" w:ascii="等线" w:hAnsi="等线" w:eastAsia="等线" w:cs="宋体"/>
                <w:b/>
                <w:bCs/>
                <w:color w:val="000000"/>
                <w:sz w:val="22"/>
                <w:szCs w:val="22"/>
              </w:rPr>
              <w:t>效果</w:t>
            </w: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社会影响</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评价项目建设活动对社会发展所带来的直接或间接的正负面影响情况。如新增就业、社会荣誉、重大诉讼、公众舆情与群体性事件等。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生态影响</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评价项目建设期间对生态环境所带来的直接或间接的正负面影响情况。如节能减排、环保处罚等。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可持续性</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评价项目公司或社会资本是否做好项目运营准备工作，如资源配置、潜在风险及沟通协调机制等。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满意度</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政府相关部门、项目实施机构、社会公众（服务对象）对项目公司或社会资本建设期间相关工作的满意程度。</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color w:val="000000"/>
                <w:sz w:val="22"/>
                <w:szCs w:val="22"/>
              </w:rPr>
            </w:pPr>
            <w:r>
              <w:rPr>
                <w:rFonts w:hint="eastAsia" w:ascii="等线" w:hAnsi="等线" w:eastAsia="等线" w:cs="宋体"/>
                <w:b/>
                <w:bCs/>
                <w:color w:val="000000"/>
                <w:sz w:val="22"/>
                <w:szCs w:val="22"/>
              </w:rPr>
              <w:t>管理</w:t>
            </w: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组织管理</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评价项目公司组织架构是否健全、人员配置是否合理，能否满足项目日常运作需求。</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资金管理</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评价社会资本项目资本金及项目公司融资资金的到位率和及时性。</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档案管理</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评价项目建设相关资料的完整性、真实性以及归集整理的及时性。</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color w:val="000000"/>
                <w:sz w:val="22"/>
                <w:szCs w:val="22"/>
              </w:rPr>
            </w:pPr>
          </w:p>
        </w:tc>
        <w:tc>
          <w:tcPr>
            <w:tcW w:w="1929"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信息公开</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评价项目公司或社会资本履行信息公开义务的及时性与准确性。</w:t>
            </w:r>
          </w:p>
        </w:tc>
      </w:tr>
      <w:tr>
        <w:tblPrEx>
          <w:tblCellMar>
            <w:top w:w="0" w:type="dxa"/>
            <w:left w:w="108" w:type="dxa"/>
            <w:bottom w:w="0" w:type="dxa"/>
            <w:right w:w="108" w:type="dxa"/>
          </w:tblCellMar>
        </w:tblPrEx>
        <w:trPr>
          <w:jc w:val="center"/>
        </w:trPr>
        <w:tc>
          <w:tcPr>
            <w:tcW w:w="1568" w:type="dxa"/>
            <w:vMerge w:val="restar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项目实施机构</w:t>
            </w:r>
            <w:r>
              <w:rPr>
                <w:rFonts w:ascii="等线" w:hAnsi="等线" w:eastAsia="等线" w:cs="宋体"/>
                <w:b/>
                <w:bCs/>
                <w:sz w:val="22"/>
                <w:szCs w:val="22"/>
              </w:rPr>
              <w:br w:type="textWrapping"/>
            </w:r>
            <w:r>
              <w:rPr>
                <w:rFonts w:hint="eastAsia" w:ascii="等线" w:hAnsi="等线" w:eastAsia="等线" w:cs="宋体"/>
                <w:b/>
                <w:bCs/>
                <w:sz w:val="22"/>
                <w:szCs w:val="22"/>
              </w:rPr>
              <w:t>绩效评价</w:t>
            </w:r>
            <w:r>
              <w:rPr>
                <w:rFonts w:ascii="等线" w:hAnsi="等线" w:eastAsia="等线" w:cs="宋体"/>
                <w:b/>
                <w:bCs/>
                <w:sz w:val="22"/>
                <w:szCs w:val="22"/>
              </w:rPr>
              <w:br w:type="textWrapping"/>
            </w:r>
            <w:r>
              <w:rPr>
                <w:rFonts w:hint="eastAsia" w:ascii="等线" w:hAnsi="等线" w:eastAsia="等线" w:cs="宋体"/>
                <w:b/>
                <w:bCs/>
                <w:sz w:val="22"/>
                <w:szCs w:val="22"/>
              </w:rPr>
              <w:t>（</w:t>
            </w:r>
            <w:r>
              <w:rPr>
                <w:rFonts w:ascii="等线" w:hAnsi="等线" w:eastAsia="等线" w:cs="宋体"/>
                <w:b/>
                <w:bCs/>
                <w:sz w:val="22"/>
                <w:szCs w:val="22"/>
              </w:rPr>
              <w:t>100分）</w:t>
            </w:r>
          </w:p>
        </w:tc>
        <w:tc>
          <w:tcPr>
            <w:tcW w:w="1271"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产出</w:t>
            </w: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履约情况</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评价项目实施机构是否及时、有效履行</w:t>
            </w:r>
            <w:r>
              <w:rPr>
                <w:rFonts w:ascii="等线" w:hAnsi="等线" w:eastAsia="等线" w:cs="宋体"/>
                <w:sz w:val="22"/>
                <w:szCs w:val="22"/>
              </w:rPr>
              <w:t>PPP项目合同约定的义务。</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成本控制</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评价项目实施机构履行项目建设成本监督管控责任的情况。（注：</w:t>
            </w:r>
            <w:r>
              <w:rPr>
                <w:rFonts w:ascii="等线" w:hAnsi="等线" w:eastAsia="等线" w:cs="宋体"/>
                <w:sz w:val="22"/>
                <w:szCs w:val="22"/>
              </w:rPr>
              <w:t>PPP项目合同对建设成本进行固定总价约定的不适用本指标）。</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效果</w:t>
            </w:r>
          </w:p>
        </w:tc>
        <w:tc>
          <w:tcPr>
            <w:tcW w:w="1929" w:type="dxa"/>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满意度</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社会公众、项目公司或社会资本对项目实施机构工作开展的满意程度。</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可持续性</w:t>
            </w:r>
          </w:p>
        </w:tc>
        <w:tc>
          <w:tcPr>
            <w:tcW w:w="5186" w:type="dxa"/>
            <w:tcBorders>
              <w:top w:val="nil"/>
              <w:left w:val="nil"/>
              <w:bottom w:val="single" w:color="auto" w:sz="4" w:space="0"/>
              <w:right w:val="single" w:color="auto" w:sz="4" w:space="0"/>
            </w:tcBorders>
            <w:shd w:val="clear" w:color="auto" w:fill="auto"/>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评价项目实施机构是否为项目可持续性建立有效的工作保障和沟通协调机制。</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b/>
                <w:bCs/>
                <w:sz w:val="22"/>
                <w:szCs w:val="22"/>
              </w:rPr>
            </w:pPr>
            <w:r>
              <w:rPr>
                <w:rFonts w:hint="eastAsia" w:ascii="等线" w:hAnsi="等线" w:eastAsia="等线" w:cs="宋体"/>
                <w:b/>
                <w:bCs/>
                <w:sz w:val="22"/>
                <w:szCs w:val="22"/>
              </w:rPr>
              <w:t>管理</w:t>
            </w: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前期工作</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评价项目实施机构应承担的项目前期手续及各项工作的落实情况。</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jc w:val="center"/>
              <w:rPr>
                <w:rFonts w:ascii="等线" w:hAnsi="等线" w:eastAsia="等线" w:cs="宋体"/>
                <w:color w:val="000000"/>
                <w:sz w:val="22"/>
                <w:szCs w:val="22"/>
              </w:rPr>
            </w:pPr>
            <w:r>
              <w:rPr>
                <w:rFonts w:hint="eastAsia" w:ascii="等线" w:hAnsi="等线" w:eastAsia="等线" w:cs="宋体"/>
                <w:color w:val="000000"/>
                <w:sz w:val="22"/>
                <w:szCs w:val="22"/>
              </w:rPr>
              <w:t>资金（资产）管</w:t>
            </w:r>
            <w:r>
              <w:rPr>
                <w:rFonts w:hint="eastAsia" w:ascii="等线" w:hAnsi="等线" w:eastAsia="等线" w:cs="宋体"/>
                <w:sz w:val="22"/>
                <w:szCs w:val="22"/>
              </w:rPr>
              <w:t>理</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评价项目实施机构股权投入、配套投入等到位率和及时性。</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监督管理</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color w:val="000000"/>
                <w:sz w:val="22"/>
                <w:szCs w:val="22"/>
              </w:rPr>
            </w:pPr>
            <w:r>
              <w:rPr>
                <w:rFonts w:hint="eastAsia" w:ascii="等线" w:hAnsi="等线" w:eastAsia="等线" w:cs="宋体"/>
                <w:color w:val="000000"/>
                <w:sz w:val="22"/>
                <w:szCs w:val="22"/>
              </w:rPr>
              <w:t>评价项目实施机构是否按照</w:t>
            </w:r>
            <w:r>
              <w:rPr>
                <w:rFonts w:ascii="等线" w:hAnsi="等线" w:eastAsia="等线" w:cs="宋体"/>
                <w:color w:val="000000"/>
                <w:sz w:val="22"/>
                <w:szCs w:val="22"/>
              </w:rPr>
              <w:t>PPP项目合同约定履行监督管理职能，如质量监督、财务监督及日常管理等。</w:t>
            </w:r>
          </w:p>
        </w:tc>
      </w:tr>
      <w:tr>
        <w:tblPrEx>
          <w:tblCellMar>
            <w:top w:w="0" w:type="dxa"/>
            <w:left w:w="108" w:type="dxa"/>
            <w:bottom w:w="0" w:type="dxa"/>
            <w:right w:w="108" w:type="dxa"/>
          </w:tblCellMar>
        </w:tblPrEx>
        <w:trPr>
          <w:jc w:val="center"/>
        </w:trPr>
        <w:tc>
          <w:tcPr>
            <w:tcW w:w="1568"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val="0"/>
              <w:adjustRightInd w:val="0"/>
              <w:snapToGrid w:val="0"/>
              <w:spacing w:line="600" w:lineRule="exact"/>
              <w:rPr>
                <w:rFonts w:ascii="等线" w:hAnsi="等线" w:eastAsia="等线" w:cs="宋体"/>
                <w:b/>
                <w:bCs/>
                <w:sz w:val="22"/>
                <w:szCs w:val="22"/>
              </w:rPr>
            </w:pPr>
          </w:p>
        </w:tc>
        <w:tc>
          <w:tcPr>
            <w:tcW w:w="1929" w:type="dxa"/>
            <w:tcBorders>
              <w:top w:val="nil"/>
              <w:left w:val="nil"/>
              <w:bottom w:val="single" w:color="auto" w:sz="4" w:space="0"/>
              <w:right w:val="single" w:color="auto" w:sz="4" w:space="0"/>
            </w:tcBorders>
            <w:shd w:val="clear" w:color="000000" w:fill="FFFFFF"/>
            <w:noWrap/>
            <w:vAlign w:val="center"/>
          </w:tcPr>
          <w:p>
            <w:pPr>
              <w:widowControl w:val="0"/>
              <w:adjustRightInd w:val="0"/>
              <w:snapToGrid w:val="0"/>
              <w:spacing w:line="600" w:lineRule="exact"/>
              <w:jc w:val="center"/>
              <w:rPr>
                <w:rFonts w:ascii="等线" w:hAnsi="等线" w:eastAsia="等线" w:cs="宋体"/>
                <w:sz w:val="22"/>
                <w:szCs w:val="22"/>
              </w:rPr>
            </w:pPr>
            <w:r>
              <w:rPr>
                <w:rFonts w:hint="eastAsia" w:ascii="等线" w:hAnsi="等线" w:eastAsia="等线" w:cs="宋体"/>
                <w:sz w:val="22"/>
                <w:szCs w:val="22"/>
              </w:rPr>
              <w:t>信息公开</w:t>
            </w:r>
          </w:p>
        </w:tc>
        <w:tc>
          <w:tcPr>
            <w:tcW w:w="5186" w:type="dxa"/>
            <w:tcBorders>
              <w:top w:val="nil"/>
              <w:left w:val="nil"/>
              <w:bottom w:val="single" w:color="auto" w:sz="4" w:space="0"/>
              <w:right w:val="single" w:color="auto" w:sz="4" w:space="0"/>
            </w:tcBorders>
            <w:shd w:val="clear" w:color="000000" w:fill="FFFFFF"/>
            <w:vAlign w:val="center"/>
          </w:tcPr>
          <w:p>
            <w:pPr>
              <w:widowControl w:val="0"/>
              <w:adjustRightInd w:val="0"/>
              <w:snapToGrid w:val="0"/>
              <w:spacing w:line="600" w:lineRule="exact"/>
              <w:rPr>
                <w:rFonts w:ascii="等线" w:hAnsi="等线" w:eastAsia="等线" w:cs="宋体"/>
                <w:sz w:val="22"/>
                <w:szCs w:val="22"/>
              </w:rPr>
            </w:pPr>
            <w:r>
              <w:rPr>
                <w:rFonts w:hint="eastAsia" w:ascii="等线" w:hAnsi="等线" w:eastAsia="等线" w:cs="宋体"/>
                <w:sz w:val="22"/>
                <w:szCs w:val="22"/>
              </w:rPr>
              <w:t>评价项目实施机构是否按照信息公开相关要求及时、准确公开信息。</w:t>
            </w:r>
          </w:p>
        </w:tc>
      </w:tr>
      <w:tr>
        <w:tblPrEx>
          <w:tblCellMar>
            <w:top w:w="0" w:type="dxa"/>
            <w:left w:w="108" w:type="dxa"/>
            <w:bottom w:w="0" w:type="dxa"/>
            <w:right w:w="108" w:type="dxa"/>
          </w:tblCellMar>
        </w:tblPrEx>
        <w:trPr>
          <w:jc w:val="center"/>
        </w:trPr>
        <w:tc>
          <w:tcPr>
            <w:tcW w:w="9954" w:type="dxa"/>
            <w:gridSpan w:val="4"/>
            <w:tcBorders>
              <w:top w:val="nil"/>
              <w:left w:val="nil"/>
              <w:bottom w:val="nil"/>
              <w:right w:val="nil"/>
            </w:tcBorders>
            <w:shd w:val="clear" w:color="auto" w:fill="auto"/>
            <w:noWrap/>
            <w:vAlign w:val="center"/>
          </w:tcPr>
          <w:p>
            <w:pPr>
              <w:widowControl w:val="0"/>
              <w:adjustRightInd w:val="0"/>
              <w:snapToGrid w:val="0"/>
              <w:spacing w:line="600" w:lineRule="exact"/>
              <w:rPr>
                <w:rFonts w:ascii="宋体" w:hAnsi="宋体" w:eastAsia="宋体" w:cs="宋体"/>
                <w:sz w:val="22"/>
                <w:szCs w:val="22"/>
              </w:rPr>
            </w:pPr>
            <w:r>
              <w:rPr>
                <w:rFonts w:hint="eastAsia" w:ascii="宋体" w:hAnsi="宋体" w:eastAsia="宋体" w:cs="宋体"/>
                <w:sz w:val="22"/>
                <w:szCs w:val="22"/>
              </w:rPr>
              <w:t>备注：应根据项目行业特点与实际情况等适当调整二级指标，细化形成三级指标。</w:t>
            </w:r>
          </w:p>
        </w:tc>
      </w:tr>
    </w:tbl>
    <w:p>
      <w:pPr>
        <w:widowControl w:val="0"/>
        <w:tabs>
          <w:tab w:val="left" w:pos="1134"/>
          <w:tab w:val="left" w:pos="1701"/>
        </w:tabs>
        <w:adjustRightInd w:val="0"/>
        <w:snapToGrid w:val="0"/>
        <w:spacing w:line="600" w:lineRule="exact"/>
        <w:ind w:right="-58" w:rightChars="-24"/>
        <w:outlineLvl w:val="0"/>
        <w:rPr>
          <w:rFonts w:eastAsia="黑体"/>
          <w:sz w:val="28"/>
          <w:szCs w:val="28"/>
        </w:rPr>
        <w:sectPr>
          <w:pgSz w:w="11906" w:h="16838"/>
          <w:pgMar w:top="1440" w:right="1080" w:bottom="1440" w:left="1080" w:header="851" w:footer="992" w:gutter="0"/>
          <w:cols w:space="425" w:num="1"/>
          <w:docGrid w:type="lines" w:linePitch="326" w:charSpace="0"/>
        </w:sectPr>
      </w:pPr>
    </w:p>
    <w:p>
      <w:pPr>
        <w:pStyle w:val="2"/>
        <w:adjustRightInd w:val="0"/>
        <w:snapToGrid w:val="0"/>
        <w:spacing w:before="0" w:after="0" w:line="600" w:lineRule="exact"/>
        <w:rPr>
          <w:rFonts w:ascii="黑体" w:hAnsi="黑体" w:eastAsia="黑体"/>
          <w:b w:val="0"/>
          <w:bCs w:val="0"/>
          <w:sz w:val="28"/>
          <w:szCs w:val="28"/>
        </w:rPr>
      </w:pPr>
      <w:bookmarkStart w:id="88" w:name="_Toc15666347"/>
      <w:r>
        <w:rPr>
          <w:rFonts w:hint="eastAsia" w:ascii="黑体" w:hAnsi="黑体" w:eastAsia="黑体"/>
          <w:b w:val="0"/>
          <w:bCs w:val="0"/>
          <w:sz w:val="28"/>
          <w:szCs w:val="28"/>
        </w:rPr>
        <w:t>附5：</w:t>
      </w:r>
    </w:p>
    <w:p>
      <w:pPr>
        <w:pStyle w:val="2"/>
        <w:adjustRightInd w:val="0"/>
        <w:snapToGrid w:val="0"/>
        <w:spacing w:before="0" w:after="0" w:line="600" w:lineRule="exact"/>
        <w:jc w:val="center"/>
        <w:rPr>
          <w:rFonts w:ascii="黑体" w:hAnsi="黑体" w:eastAsia="黑体"/>
          <w:b w:val="0"/>
          <w:bCs w:val="0"/>
          <w:sz w:val="28"/>
          <w:szCs w:val="28"/>
        </w:rPr>
      </w:pPr>
      <w:r>
        <w:rPr>
          <w:rFonts w:hint="eastAsia" w:ascii="黑体" w:hAnsi="黑体" w:eastAsia="黑体"/>
          <w:b w:val="0"/>
          <w:bCs w:val="0"/>
          <w:sz w:val="28"/>
          <w:szCs w:val="28"/>
        </w:rPr>
        <w:t>PPP项目运营期绩效评价共性指标框架（参考）</w:t>
      </w:r>
      <w:bookmarkEnd w:id="88"/>
    </w:p>
    <w:p>
      <w:pPr>
        <w:widowControl w:val="0"/>
        <w:tabs>
          <w:tab w:val="left" w:pos="709"/>
        </w:tabs>
        <w:adjustRightInd w:val="0"/>
        <w:snapToGrid w:val="0"/>
        <w:spacing w:line="600" w:lineRule="exact"/>
        <w:jc w:val="center"/>
        <w:rPr>
          <w:rFonts w:ascii="黑体" w:hAnsi="黑体" w:eastAsia="黑体"/>
          <w:sz w:val="28"/>
          <w:szCs w:val="28"/>
        </w:rPr>
      </w:pPr>
      <w:r>
        <w:rPr>
          <w:rFonts w:ascii="黑体" w:hAnsi="黑体" w:eastAsia="黑体"/>
          <w:sz w:val="28"/>
          <w:szCs w:val="28"/>
        </w:rPr>
        <w:t>PPP</w:t>
      </w:r>
      <w:r>
        <w:rPr>
          <w:rFonts w:hint="eastAsia" w:ascii="黑体" w:hAnsi="黑体" w:eastAsia="黑体"/>
          <w:sz w:val="28"/>
          <w:szCs w:val="28"/>
        </w:rPr>
        <w:t>项目绩效评价共性指标框架（参考）——运营期</w:t>
      </w:r>
    </w:p>
    <w:tbl>
      <w:tblPr>
        <w:tblStyle w:val="12"/>
        <w:tblW w:w="15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273"/>
        <w:gridCol w:w="1419"/>
        <w:gridCol w:w="8793"/>
        <w:gridCol w:w="2125"/>
        <w:gridCol w:w="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424" w:hRule="atLeast"/>
          <w:tblHeader/>
          <w:jc w:val="center"/>
        </w:trPr>
        <w:tc>
          <w:tcPr>
            <w:tcW w:w="1552" w:type="dxa"/>
            <w:shd w:val="clear" w:color="auto" w:fill="auto"/>
            <w:noWrap/>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　</w:t>
            </w:r>
          </w:p>
        </w:tc>
        <w:tc>
          <w:tcPr>
            <w:tcW w:w="1273" w:type="dxa"/>
            <w:shd w:val="clear" w:color="auto" w:fill="auto"/>
            <w:noWrap/>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一级指标</w:t>
            </w:r>
          </w:p>
        </w:tc>
        <w:tc>
          <w:tcPr>
            <w:tcW w:w="1419" w:type="dxa"/>
            <w:shd w:val="clear" w:color="auto" w:fill="auto"/>
            <w:noWrap/>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二级指标</w:t>
            </w:r>
          </w:p>
        </w:tc>
        <w:tc>
          <w:tcPr>
            <w:tcW w:w="8793" w:type="dxa"/>
            <w:shd w:val="clear" w:color="auto" w:fill="auto"/>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指标解释</w:t>
            </w:r>
          </w:p>
        </w:tc>
        <w:tc>
          <w:tcPr>
            <w:tcW w:w="2125" w:type="dxa"/>
            <w:shd w:val="clear" w:color="auto" w:fill="auto"/>
            <w:vAlign w:val="center"/>
          </w:tcPr>
          <w:p>
            <w:pPr>
              <w:widowControl w:val="0"/>
              <w:adjustRightInd w:val="0"/>
              <w:snapToGrid w:val="0"/>
              <w:spacing w:line="600" w:lineRule="exact"/>
              <w:jc w:val="center"/>
              <w:rPr>
                <w:rFonts w:ascii="微软雅黑" w:hAnsi="微软雅黑" w:eastAsia="微软雅黑" w:cs="宋体"/>
                <w:sz w:val="21"/>
                <w:szCs w:val="21"/>
              </w:rPr>
            </w:pPr>
            <w:r>
              <w:rPr>
                <w:rFonts w:hint="eastAsia" w:ascii="微软雅黑" w:hAnsi="微软雅黑" w:eastAsia="微软雅黑"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项目公司</w:t>
            </w:r>
            <w:r>
              <w:rPr>
                <w:rFonts w:ascii="等线" w:hAnsi="等线" w:eastAsia="等线" w:cs="宋体"/>
                <w:b/>
                <w:bCs/>
                <w:color w:val="000000"/>
                <w:sz w:val="21"/>
                <w:szCs w:val="21"/>
              </w:rPr>
              <w:br w:type="textWrapping"/>
            </w:r>
            <w:r>
              <w:rPr>
                <w:rFonts w:hint="eastAsia" w:ascii="等线" w:hAnsi="等线" w:eastAsia="等线" w:cs="宋体"/>
                <w:b/>
                <w:bCs/>
                <w:color w:val="000000"/>
                <w:sz w:val="21"/>
                <w:szCs w:val="21"/>
              </w:rPr>
              <w:t>（社会资本）</w:t>
            </w:r>
            <w:r>
              <w:rPr>
                <w:rFonts w:ascii="等线" w:hAnsi="等线" w:eastAsia="等线" w:cs="宋体"/>
                <w:b/>
                <w:bCs/>
                <w:color w:val="000000"/>
                <w:sz w:val="21"/>
                <w:szCs w:val="21"/>
              </w:rPr>
              <w:br w:type="textWrapping"/>
            </w:r>
            <w:r>
              <w:rPr>
                <w:rFonts w:hint="eastAsia" w:ascii="等线" w:hAnsi="等线" w:eastAsia="等线" w:cs="宋体"/>
                <w:b/>
                <w:bCs/>
                <w:color w:val="000000"/>
                <w:sz w:val="21"/>
                <w:szCs w:val="21"/>
              </w:rPr>
              <w:t>绩效评价</w:t>
            </w:r>
            <w:r>
              <w:rPr>
                <w:rFonts w:ascii="等线" w:hAnsi="等线" w:eastAsia="等线" w:cs="宋体"/>
                <w:b/>
                <w:bCs/>
                <w:color w:val="000000"/>
                <w:sz w:val="21"/>
                <w:szCs w:val="21"/>
              </w:rPr>
              <w:br w:type="textWrapping"/>
            </w:r>
            <w:r>
              <w:rPr>
                <w:rFonts w:hint="eastAsia" w:ascii="等线" w:hAnsi="等线" w:eastAsia="等线" w:cs="宋体"/>
                <w:b/>
                <w:bCs/>
                <w:color w:val="000000"/>
                <w:sz w:val="21"/>
                <w:szCs w:val="21"/>
              </w:rPr>
              <w:t>（</w:t>
            </w:r>
            <w:r>
              <w:rPr>
                <w:rFonts w:ascii="等线" w:hAnsi="等线" w:eastAsia="等线" w:cs="宋体"/>
                <w:b/>
                <w:bCs/>
                <w:color w:val="000000"/>
                <w:sz w:val="21"/>
                <w:szCs w:val="21"/>
              </w:rPr>
              <w:t>100分）</w:t>
            </w:r>
          </w:p>
        </w:tc>
        <w:tc>
          <w:tcPr>
            <w:tcW w:w="1273"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产出</w:t>
            </w: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项目运营</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评价项目运营的数量、质量与时效等目标完成情况。如完成率、达标率与及时性等。</w:t>
            </w:r>
          </w:p>
        </w:tc>
        <w:tc>
          <w:tcPr>
            <w:tcW w:w="2125" w:type="dxa"/>
            <w:vMerge w:val="restart"/>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ascii="等线" w:hAnsi="等线" w:eastAsia="等线" w:cs="宋体"/>
                <w:color w:val="000000"/>
                <w:sz w:val="21"/>
                <w:szCs w:val="21"/>
              </w:rPr>
              <w:t>1、“产出”指标应作为按效付费的核心指标，指标权重不低于总权重的80%，其中“项目运营”与“项目维护”指标不低于总权重的60%；</w:t>
            </w:r>
            <w:r>
              <w:rPr>
                <w:rFonts w:ascii="等线" w:hAnsi="等线" w:eastAsia="等线" w:cs="宋体"/>
                <w:color w:val="000000"/>
                <w:sz w:val="21"/>
                <w:szCs w:val="21"/>
              </w:rPr>
              <w:br w:type="textWrapping"/>
            </w:r>
            <w:r>
              <w:rPr>
                <w:rFonts w:ascii="等线" w:hAnsi="等线" w:eastAsia="等线" w:cs="宋体"/>
                <w:color w:val="000000"/>
                <w:sz w:val="21"/>
                <w:szCs w:val="21"/>
              </w:rPr>
              <w:t>2、原则上不低于80分才可全额付费。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kern w:val="44"/>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kern w:val="44"/>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项目维护</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评价项目设施设备等相关资产维护的数量、质量与时效等目标完成情况。如设施设备维护频次、完好率与维护及时性等。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成本效益</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评价项目运营维护的成本情况。如成本构成合理性、实际成本与计划成本对比情况、成本节约率、投入产出比等。（注：</w:t>
            </w:r>
            <w:r>
              <w:rPr>
                <w:rFonts w:ascii="等线" w:hAnsi="等线" w:eastAsia="等线" w:cs="宋体"/>
                <w:sz w:val="21"/>
                <w:szCs w:val="21"/>
              </w:rPr>
              <w:t>PPP项目合同中未对运营维护成本控制进行约定的项目适用本指标）</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安全保障</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评价项目公司（或社会资本）在提供公共服务过程中安全保障情况。如重大事故发生率、安全生产率、应急处理情况等。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效果</w:t>
            </w: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经济影响</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评价项目实施对经济发展所带来的直接或间接的正负面影响情况。如对产业带动及区域经济影响等。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生态影响</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评价项目实施对生态环境所带来的直接或间接的正负面影响情况。如节能减排、环保处罚等。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社会影响</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评价项目实施对社会发展所带来的直接或间接的正负面影响情况。如新增就业、</w:t>
            </w:r>
            <w:r>
              <w:rPr>
                <w:rFonts w:hint="eastAsia" w:ascii="等线" w:hAnsi="等线" w:eastAsia="等线" w:cs="宋体"/>
                <w:sz w:val="21"/>
                <w:szCs w:val="21"/>
              </w:rPr>
              <w:t>社会荣誉、重大诉讼、公众舆情与群体性事件等。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可持续性</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评价项目在发展、运行管理及财务状况等方面的可持续性情况。</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满意度</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政府相关部门、项目实施机构、社会公众（服务对象）对项目公司或社会资本提供公共服务质量和效率的满意程度。</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color w:val="000000"/>
                <w:sz w:val="21"/>
                <w:szCs w:val="21"/>
              </w:rPr>
            </w:pPr>
            <w:r>
              <w:rPr>
                <w:rFonts w:hint="eastAsia" w:ascii="等线" w:hAnsi="等线" w:eastAsia="等线" w:cs="宋体"/>
                <w:b/>
                <w:bCs/>
                <w:color w:val="000000"/>
                <w:sz w:val="21"/>
                <w:szCs w:val="21"/>
              </w:rPr>
              <w:t>管理</w:t>
            </w: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组织管理</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评价项目运营管理实施及组织保障等情况。如组织架构、人员管理及决策审批流程等。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财务管理</w:t>
            </w:r>
          </w:p>
        </w:tc>
        <w:tc>
          <w:tcPr>
            <w:tcW w:w="8793" w:type="dxa"/>
            <w:shd w:val="clear" w:color="000000" w:fill="FFFFFF"/>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评价项目资金管理、会计核算等财务管理内容的合规性。</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制度管理</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评价内控制度的健全程度及执行效率。</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档案管理</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评价项目运营、维护等相关资料的完整性、真实性以及归集整理的及时性。</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color w:val="000000"/>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信息公开</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评价项目公司或社会资本履行信息公开义务的及时性与准确性。</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restart"/>
            <w:shd w:val="clear" w:color="auto" w:fill="auto"/>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项目实施机构</w:t>
            </w:r>
            <w:r>
              <w:rPr>
                <w:rFonts w:ascii="等线" w:hAnsi="等线" w:eastAsia="等线" w:cs="宋体"/>
                <w:b/>
                <w:bCs/>
                <w:sz w:val="21"/>
                <w:szCs w:val="21"/>
              </w:rPr>
              <w:br w:type="textWrapping"/>
            </w:r>
            <w:r>
              <w:rPr>
                <w:rFonts w:hint="eastAsia" w:ascii="等线" w:hAnsi="等线" w:eastAsia="等线" w:cs="宋体"/>
                <w:b/>
                <w:bCs/>
                <w:sz w:val="21"/>
                <w:szCs w:val="21"/>
              </w:rPr>
              <w:t>绩效评价</w:t>
            </w:r>
            <w:r>
              <w:rPr>
                <w:rFonts w:ascii="等线" w:hAnsi="等线" w:eastAsia="等线" w:cs="宋体"/>
                <w:b/>
                <w:bCs/>
                <w:sz w:val="21"/>
                <w:szCs w:val="21"/>
              </w:rPr>
              <w:br w:type="textWrapping"/>
            </w:r>
            <w:r>
              <w:rPr>
                <w:rFonts w:hint="eastAsia" w:ascii="等线" w:hAnsi="等线" w:eastAsia="等线" w:cs="宋体"/>
                <w:b/>
                <w:bCs/>
                <w:sz w:val="21"/>
                <w:szCs w:val="21"/>
              </w:rPr>
              <w:t>（</w:t>
            </w:r>
            <w:r>
              <w:rPr>
                <w:rFonts w:ascii="等线" w:hAnsi="等线" w:eastAsia="等线" w:cs="宋体"/>
                <w:b/>
                <w:bCs/>
                <w:sz w:val="21"/>
                <w:szCs w:val="21"/>
              </w:rPr>
              <w:t>100分）</w:t>
            </w:r>
          </w:p>
          <w:p>
            <w:pPr>
              <w:widowControl w:val="0"/>
              <w:adjustRightInd w:val="0"/>
              <w:snapToGrid w:val="0"/>
              <w:spacing w:line="600" w:lineRule="exact"/>
              <w:jc w:val="center"/>
              <w:rPr>
                <w:rFonts w:ascii="等线" w:hAnsi="等线" w:eastAsia="等线" w:cs="宋体"/>
                <w:b/>
                <w:bCs/>
                <w:kern w:val="44"/>
                <w:sz w:val="21"/>
                <w:szCs w:val="21"/>
              </w:rPr>
            </w:pPr>
          </w:p>
          <w:p>
            <w:pPr>
              <w:widowControl w:val="0"/>
              <w:adjustRightInd w:val="0"/>
              <w:snapToGrid w:val="0"/>
              <w:spacing w:line="600" w:lineRule="exact"/>
              <w:jc w:val="center"/>
              <w:rPr>
                <w:rFonts w:ascii="等线" w:hAnsi="等线" w:eastAsia="等线" w:cs="宋体"/>
                <w:b/>
                <w:bCs/>
                <w:kern w:val="44"/>
                <w:sz w:val="21"/>
                <w:szCs w:val="21"/>
              </w:rPr>
            </w:pPr>
          </w:p>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项目实施机构</w:t>
            </w:r>
            <w:r>
              <w:rPr>
                <w:rFonts w:ascii="等线" w:hAnsi="等线" w:eastAsia="等线" w:cs="宋体"/>
                <w:b/>
                <w:bCs/>
                <w:sz w:val="21"/>
                <w:szCs w:val="21"/>
              </w:rPr>
              <w:br w:type="textWrapping"/>
            </w:r>
            <w:r>
              <w:rPr>
                <w:rFonts w:hint="eastAsia" w:ascii="等线" w:hAnsi="等线" w:eastAsia="等线" w:cs="宋体"/>
                <w:b/>
                <w:bCs/>
                <w:sz w:val="21"/>
                <w:szCs w:val="21"/>
              </w:rPr>
              <w:t>绩效评价</w:t>
            </w:r>
            <w:r>
              <w:rPr>
                <w:rFonts w:ascii="等线" w:hAnsi="等线" w:eastAsia="等线" w:cs="宋体"/>
                <w:b/>
                <w:bCs/>
                <w:sz w:val="21"/>
                <w:szCs w:val="21"/>
              </w:rPr>
              <w:br w:type="textWrapping"/>
            </w:r>
            <w:r>
              <w:rPr>
                <w:rFonts w:hint="eastAsia" w:ascii="等线" w:hAnsi="等线" w:eastAsia="等线" w:cs="宋体"/>
                <w:b/>
                <w:bCs/>
                <w:sz w:val="21"/>
                <w:szCs w:val="21"/>
              </w:rPr>
              <w:t>（</w:t>
            </w:r>
            <w:r>
              <w:rPr>
                <w:rFonts w:ascii="等线" w:hAnsi="等线" w:eastAsia="等线" w:cs="宋体"/>
                <w:b/>
                <w:bCs/>
                <w:sz w:val="21"/>
                <w:szCs w:val="21"/>
              </w:rPr>
              <w:t>100分）</w:t>
            </w:r>
          </w:p>
          <w:p>
            <w:pPr>
              <w:widowControl w:val="0"/>
              <w:adjustRightInd w:val="0"/>
              <w:snapToGrid w:val="0"/>
              <w:spacing w:line="600" w:lineRule="exact"/>
              <w:jc w:val="center"/>
              <w:rPr>
                <w:rFonts w:ascii="等线" w:hAnsi="等线" w:eastAsia="等线" w:cs="宋体"/>
                <w:b/>
                <w:bCs/>
                <w:kern w:val="44"/>
                <w:sz w:val="21"/>
                <w:szCs w:val="21"/>
              </w:rPr>
            </w:pPr>
          </w:p>
        </w:tc>
        <w:tc>
          <w:tcPr>
            <w:tcW w:w="1273" w:type="dxa"/>
            <w:vMerge w:val="restart"/>
            <w:shd w:val="clear" w:color="auto" w:fill="auto"/>
            <w:noWrap/>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产出</w:t>
            </w: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按效付费</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评价项目实施机构是否及时、充分按照</w:t>
            </w:r>
            <w:r>
              <w:rPr>
                <w:rFonts w:ascii="等线" w:hAnsi="等线" w:eastAsia="等线" w:cs="宋体"/>
                <w:sz w:val="21"/>
                <w:szCs w:val="21"/>
              </w:rPr>
              <w:t>PPP项目合同约定履行按效付费义务。</w:t>
            </w:r>
          </w:p>
        </w:tc>
        <w:tc>
          <w:tcPr>
            <w:tcW w:w="2125" w:type="dxa"/>
            <w:vMerge w:val="restart"/>
            <w:shd w:val="clear" w:color="auto" w:fill="auto"/>
            <w:vAlign w:val="center"/>
          </w:tcPr>
          <w:p>
            <w:pPr>
              <w:widowControl w:val="0"/>
              <w:adjustRightInd w:val="0"/>
              <w:snapToGrid w:val="0"/>
              <w:spacing w:line="600" w:lineRule="exact"/>
              <w:jc w:val="center"/>
              <w:rPr>
                <w:rFonts w:ascii="等线" w:hAnsi="等线" w:eastAsia="等线" w:cs="宋体"/>
                <w:color w:val="000000"/>
                <w:sz w:val="21"/>
                <w:szCs w:val="21"/>
              </w:rPr>
            </w:pPr>
          </w:p>
          <w:p>
            <w:pPr>
              <w:widowControl w:val="0"/>
              <w:adjustRightInd w:val="0"/>
              <w:snapToGrid w:val="0"/>
              <w:spacing w:line="600" w:lineRule="exact"/>
              <w:jc w:val="center"/>
              <w:rPr>
                <w:rFonts w:ascii="等线" w:hAnsi="等线" w:eastAsia="等线" w:cs="宋体"/>
                <w:color w:val="000000"/>
                <w:sz w:val="21"/>
                <w:szCs w:val="21"/>
              </w:rPr>
            </w:pPr>
          </w:p>
          <w:p>
            <w:pPr>
              <w:widowControl w:val="0"/>
              <w:adjustRightInd w:val="0"/>
              <w:snapToGrid w:val="0"/>
              <w:spacing w:line="600" w:lineRule="exact"/>
              <w:jc w:val="center"/>
              <w:rPr>
                <w:rFonts w:ascii="等线" w:hAnsi="等线" w:eastAsia="等线" w:cs="宋体"/>
                <w:color w:val="000000"/>
                <w:sz w:val="21"/>
                <w:szCs w:val="21"/>
              </w:rPr>
            </w:pPr>
          </w:p>
          <w:p>
            <w:pPr>
              <w:widowControl w:val="0"/>
              <w:adjustRightInd w:val="0"/>
              <w:snapToGrid w:val="0"/>
              <w:spacing w:line="600" w:lineRule="exact"/>
              <w:jc w:val="center"/>
              <w:rPr>
                <w:rFonts w:ascii="等线" w:hAnsi="等线" w:eastAsia="等线" w:cs="宋体"/>
                <w:color w:val="000000"/>
                <w:sz w:val="21"/>
                <w:szCs w:val="21"/>
              </w:rPr>
            </w:pPr>
            <w:r>
              <w:rPr>
                <w:rFonts w:hint="eastAsia" w:ascii="等线" w:hAnsi="等线" w:eastAsia="等线" w:cs="宋体"/>
                <w:color w:val="000000"/>
                <w:sz w:val="21"/>
                <w:szCs w:val="21"/>
              </w:rPr>
              <w:t>“物有所值”指标可结合中期评估等工作定期开展。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kern w:val="44"/>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kern w:val="44"/>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其他履约情况</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评价项目实施机构是否及时、有效履行</w:t>
            </w:r>
            <w:r>
              <w:rPr>
                <w:rFonts w:ascii="等线" w:hAnsi="等线" w:eastAsia="等线" w:cs="宋体"/>
                <w:sz w:val="21"/>
                <w:szCs w:val="21"/>
              </w:rPr>
              <w:t>PPP项目合同约定的其他义务。</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restart"/>
            <w:shd w:val="clear" w:color="auto" w:fill="auto"/>
            <w:noWrap/>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效果</w:t>
            </w: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满意度</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社会公众、项目公司或社会资本对项目实施机构工作开展的满意程度。</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可持续性</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评价项目实施机构是否为项目可持续性建立有效的工作保障和沟通协调机制。</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物有所值</w:t>
            </w:r>
          </w:p>
        </w:tc>
        <w:tc>
          <w:tcPr>
            <w:tcW w:w="8793" w:type="dxa"/>
            <w:shd w:val="clear" w:color="auto" w:fill="auto"/>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评价项目物有所值实现程度。</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restart"/>
            <w:shd w:val="clear" w:color="auto" w:fill="auto"/>
            <w:noWrap/>
            <w:vAlign w:val="center"/>
          </w:tcPr>
          <w:p>
            <w:pPr>
              <w:widowControl w:val="0"/>
              <w:adjustRightInd w:val="0"/>
              <w:snapToGrid w:val="0"/>
              <w:spacing w:line="600" w:lineRule="exact"/>
              <w:jc w:val="center"/>
              <w:rPr>
                <w:rFonts w:ascii="等线" w:hAnsi="等线" w:eastAsia="等线" w:cs="宋体"/>
                <w:b/>
                <w:bCs/>
                <w:sz w:val="21"/>
                <w:szCs w:val="21"/>
              </w:rPr>
            </w:pPr>
            <w:r>
              <w:rPr>
                <w:rFonts w:hint="eastAsia" w:ascii="等线" w:hAnsi="等线" w:eastAsia="等线" w:cs="宋体"/>
                <w:b/>
                <w:bCs/>
                <w:sz w:val="21"/>
                <w:szCs w:val="21"/>
              </w:rPr>
              <w:t>管理</w:t>
            </w: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预算编制</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评价项目实施机构是否及时、准确将</w:t>
            </w:r>
            <w:r>
              <w:rPr>
                <w:rFonts w:ascii="等线" w:hAnsi="等线" w:eastAsia="等线" w:cs="宋体"/>
                <w:sz w:val="21"/>
                <w:szCs w:val="21"/>
              </w:rPr>
              <w:t>PPP项目支出责任纳入年度预算。</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绩效目标与指标</w:t>
            </w:r>
          </w:p>
        </w:tc>
        <w:tc>
          <w:tcPr>
            <w:tcW w:w="8793" w:type="dxa"/>
            <w:shd w:val="clear" w:color="000000" w:fill="FFFFFF"/>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评价项目实施机构是否编制合理、明确的年度绩效目标和绩效指标。</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000000" w:fill="FFFFFF"/>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监督管理</w:t>
            </w:r>
          </w:p>
        </w:tc>
        <w:tc>
          <w:tcPr>
            <w:tcW w:w="8793" w:type="dxa"/>
            <w:shd w:val="clear" w:color="000000" w:fill="FFFFFF"/>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评价项目实施机构是否按照</w:t>
            </w:r>
            <w:r>
              <w:rPr>
                <w:rFonts w:ascii="等线" w:hAnsi="等线" w:eastAsia="等线" w:cs="宋体"/>
                <w:color w:val="000000"/>
                <w:sz w:val="21"/>
                <w:szCs w:val="21"/>
              </w:rPr>
              <w:t>PPP项目合同约定履行监督管理职能，如质量监督、财务监督及日常管理等。</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jc w:val="center"/>
        </w:trPr>
        <w:tc>
          <w:tcPr>
            <w:tcW w:w="1552"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273" w:type="dxa"/>
            <w:vMerge w:val="continue"/>
            <w:vAlign w:val="center"/>
          </w:tcPr>
          <w:p>
            <w:pPr>
              <w:widowControl w:val="0"/>
              <w:adjustRightInd w:val="0"/>
              <w:snapToGrid w:val="0"/>
              <w:spacing w:line="600" w:lineRule="exact"/>
              <w:rPr>
                <w:rFonts w:ascii="等线" w:hAnsi="等线" w:eastAsia="等线" w:cs="宋体"/>
                <w:b/>
                <w:bCs/>
                <w:sz w:val="21"/>
                <w:szCs w:val="21"/>
              </w:rPr>
            </w:pPr>
          </w:p>
        </w:tc>
        <w:tc>
          <w:tcPr>
            <w:tcW w:w="1419" w:type="dxa"/>
            <w:shd w:val="clear" w:color="auto" w:fill="auto"/>
            <w:noWrap/>
            <w:vAlign w:val="center"/>
          </w:tcPr>
          <w:p>
            <w:pPr>
              <w:widowControl w:val="0"/>
              <w:adjustRightInd w:val="0"/>
              <w:snapToGrid w:val="0"/>
              <w:spacing w:line="600" w:lineRule="exact"/>
              <w:jc w:val="center"/>
              <w:rPr>
                <w:rFonts w:ascii="等线" w:hAnsi="等线" w:eastAsia="等线" w:cs="宋体"/>
                <w:sz w:val="21"/>
                <w:szCs w:val="21"/>
              </w:rPr>
            </w:pPr>
            <w:r>
              <w:rPr>
                <w:rFonts w:hint="eastAsia" w:ascii="等线" w:hAnsi="等线" w:eastAsia="等线" w:cs="宋体"/>
                <w:sz w:val="21"/>
                <w:szCs w:val="21"/>
              </w:rPr>
              <w:t>信息公开</w:t>
            </w:r>
          </w:p>
        </w:tc>
        <w:tc>
          <w:tcPr>
            <w:tcW w:w="8793" w:type="dxa"/>
            <w:shd w:val="clear" w:color="auto" w:fill="auto"/>
            <w:vAlign w:val="center"/>
          </w:tcPr>
          <w:p>
            <w:pPr>
              <w:widowControl w:val="0"/>
              <w:adjustRightInd w:val="0"/>
              <w:snapToGrid w:val="0"/>
              <w:spacing w:line="600" w:lineRule="exact"/>
              <w:rPr>
                <w:rFonts w:ascii="等线" w:hAnsi="等线" w:eastAsia="等线" w:cs="宋体"/>
                <w:sz w:val="21"/>
                <w:szCs w:val="21"/>
              </w:rPr>
            </w:pPr>
            <w:r>
              <w:rPr>
                <w:rFonts w:hint="eastAsia" w:ascii="等线" w:hAnsi="等线" w:eastAsia="等线" w:cs="宋体"/>
                <w:sz w:val="21"/>
                <w:szCs w:val="21"/>
              </w:rPr>
              <w:t>评价项目实施机构是否按照信息公开相关要求及时、准确公开信息。</w:t>
            </w:r>
          </w:p>
        </w:tc>
        <w:tc>
          <w:tcPr>
            <w:tcW w:w="2125" w:type="dxa"/>
            <w:vMerge w:val="continue"/>
            <w:vAlign w:val="center"/>
          </w:tcPr>
          <w:p>
            <w:pPr>
              <w:widowControl w:val="0"/>
              <w:adjustRightInd w:val="0"/>
              <w:snapToGrid w:val="0"/>
              <w:spacing w:line="600" w:lineRule="exact"/>
              <w:rPr>
                <w:rFonts w:ascii="等线" w:hAnsi="等线" w:eastAsia="等线"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3" w:type="dxa"/>
            <w:gridSpan w:val="6"/>
            <w:tcBorders>
              <w:top w:val="nil"/>
              <w:left w:val="nil"/>
              <w:bottom w:val="nil"/>
              <w:right w:val="nil"/>
            </w:tcBorders>
            <w:shd w:val="clear" w:color="auto" w:fill="auto"/>
            <w:noWrap/>
            <w:vAlign w:val="center"/>
          </w:tcPr>
          <w:p>
            <w:pPr>
              <w:widowControl w:val="0"/>
              <w:adjustRightInd w:val="0"/>
              <w:snapToGrid w:val="0"/>
              <w:spacing w:line="600" w:lineRule="exact"/>
              <w:rPr>
                <w:rFonts w:ascii="等线" w:hAnsi="等线" w:eastAsia="等线" w:cs="宋体"/>
                <w:color w:val="000000"/>
                <w:sz w:val="21"/>
                <w:szCs w:val="21"/>
              </w:rPr>
            </w:pPr>
            <w:r>
              <w:rPr>
                <w:rFonts w:hint="eastAsia" w:ascii="等线" w:hAnsi="等线" w:eastAsia="等线" w:cs="宋体"/>
                <w:color w:val="000000"/>
                <w:sz w:val="21"/>
                <w:szCs w:val="21"/>
              </w:rPr>
              <w:t>备注：应根据项目行业特点与实际情况等适当调整二级指标，细化形成三级指标。</w:t>
            </w:r>
          </w:p>
        </w:tc>
      </w:tr>
    </w:tbl>
    <w:p>
      <w:pPr>
        <w:spacing w:line="600" w:lineRule="exact"/>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33841442"/>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13</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34FB7"/>
    <w:multiLevelType w:val="multilevel"/>
    <w:tmpl w:val="35234FB7"/>
    <w:lvl w:ilvl="0" w:tentative="0">
      <w:start w:val="1"/>
      <w:numFmt w:val="chineseCountingThousand"/>
      <w:lvlText w:val="第%1条"/>
      <w:lvlJc w:val="left"/>
      <w:pPr>
        <w:ind w:left="2264" w:hanging="420"/>
      </w:pPr>
      <w:rPr>
        <w:rFonts w:hint="eastAsia"/>
        <w:b/>
        <w:color w:val="000000" w:themeColor="text1"/>
        <w:lang w:val="en-US"/>
      </w:rPr>
    </w:lvl>
    <w:lvl w:ilvl="1" w:tentative="0">
      <w:start w:val="1"/>
      <w:numFmt w:val="japaneseCounting"/>
      <w:lvlText w:val="（%2）"/>
      <w:lvlJc w:val="left"/>
      <w:pPr>
        <w:ind w:left="2932" w:hanging="810"/>
      </w:pPr>
      <w:rPr>
        <w:rFonts w:hint="default"/>
      </w:rPr>
    </w:lvl>
    <w:lvl w:ilvl="2" w:tentative="0">
      <w:start w:val="1"/>
      <w:numFmt w:val="decimal"/>
      <w:lvlText w:val="%3."/>
      <w:lvlJc w:val="left"/>
      <w:pPr>
        <w:ind w:left="2902" w:hanging="360"/>
      </w:pPr>
      <w:rPr>
        <w:rFonts w:hint="default"/>
      </w:rPr>
    </w:lvl>
    <w:lvl w:ilvl="3" w:tentative="0">
      <w:start w:val="1"/>
      <w:numFmt w:val="decimal"/>
      <w:lvlText w:val="%4."/>
      <w:lvlJc w:val="left"/>
      <w:pPr>
        <w:ind w:left="3382" w:hanging="420"/>
      </w:pPr>
      <w:rPr>
        <w:rFonts w:hint="eastAsia"/>
      </w:rPr>
    </w:lvl>
    <w:lvl w:ilvl="4" w:tentative="0">
      <w:start w:val="1"/>
      <w:numFmt w:val="lowerLetter"/>
      <w:lvlText w:val="%5)"/>
      <w:lvlJc w:val="left"/>
      <w:pPr>
        <w:ind w:left="3802" w:hanging="420"/>
      </w:pPr>
      <w:rPr>
        <w:rFonts w:hint="eastAsia"/>
      </w:rPr>
    </w:lvl>
    <w:lvl w:ilvl="5" w:tentative="0">
      <w:start w:val="1"/>
      <w:numFmt w:val="lowerRoman"/>
      <w:lvlText w:val="%6."/>
      <w:lvlJc w:val="right"/>
      <w:pPr>
        <w:ind w:left="4222" w:hanging="420"/>
      </w:pPr>
      <w:rPr>
        <w:rFonts w:hint="eastAsia"/>
      </w:rPr>
    </w:lvl>
    <w:lvl w:ilvl="6" w:tentative="0">
      <w:start w:val="1"/>
      <w:numFmt w:val="decimal"/>
      <w:lvlText w:val="%7."/>
      <w:lvlJc w:val="left"/>
      <w:pPr>
        <w:ind w:left="4642" w:hanging="420"/>
      </w:pPr>
      <w:rPr>
        <w:rFonts w:hint="eastAsia"/>
      </w:rPr>
    </w:lvl>
    <w:lvl w:ilvl="7" w:tentative="0">
      <w:start w:val="1"/>
      <w:numFmt w:val="lowerLetter"/>
      <w:lvlText w:val="%8)"/>
      <w:lvlJc w:val="left"/>
      <w:pPr>
        <w:ind w:left="5062" w:hanging="420"/>
      </w:pPr>
      <w:rPr>
        <w:rFonts w:hint="eastAsia"/>
      </w:rPr>
    </w:lvl>
    <w:lvl w:ilvl="8" w:tentative="0">
      <w:start w:val="1"/>
      <w:numFmt w:val="lowerRoman"/>
      <w:lvlText w:val="%9."/>
      <w:lvlJc w:val="right"/>
      <w:pPr>
        <w:ind w:left="5482" w:hanging="420"/>
      </w:pPr>
      <w:rPr>
        <w:rFonts w:hint="eastAsia"/>
      </w:rPr>
    </w:lvl>
  </w:abstractNum>
  <w:abstractNum w:abstractNumId="1">
    <w:nsid w:val="5E7E3F48"/>
    <w:multiLevelType w:val="multilevel"/>
    <w:tmpl w:val="5E7E3F48"/>
    <w:lvl w:ilvl="0" w:tentative="0">
      <w:start w:val="1"/>
      <w:numFmt w:val="japaneseCounting"/>
      <w:lvlText w:val="第%1章"/>
      <w:lvlJc w:val="left"/>
      <w:pPr>
        <w:ind w:left="1120" w:hanging="11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5EC7"/>
    <w:rsid w:val="000204DD"/>
    <w:rsid w:val="00031C50"/>
    <w:rsid w:val="000404D5"/>
    <w:rsid w:val="00040617"/>
    <w:rsid w:val="0005097E"/>
    <w:rsid w:val="00065A09"/>
    <w:rsid w:val="00070AB9"/>
    <w:rsid w:val="000769D3"/>
    <w:rsid w:val="00077583"/>
    <w:rsid w:val="00090456"/>
    <w:rsid w:val="000A2C49"/>
    <w:rsid w:val="000D7AA6"/>
    <w:rsid w:val="000E4550"/>
    <w:rsid w:val="000E7D05"/>
    <w:rsid w:val="00114BB8"/>
    <w:rsid w:val="00125F8F"/>
    <w:rsid w:val="00127A9B"/>
    <w:rsid w:val="00151B66"/>
    <w:rsid w:val="001520DB"/>
    <w:rsid w:val="001824DD"/>
    <w:rsid w:val="00186A69"/>
    <w:rsid w:val="00195E49"/>
    <w:rsid w:val="001971F6"/>
    <w:rsid w:val="00197FCB"/>
    <w:rsid w:val="001A50F5"/>
    <w:rsid w:val="001B0245"/>
    <w:rsid w:val="001C72CE"/>
    <w:rsid w:val="001D348C"/>
    <w:rsid w:val="001D6DD2"/>
    <w:rsid w:val="001E61D2"/>
    <w:rsid w:val="00213AEC"/>
    <w:rsid w:val="0022243E"/>
    <w:rsid w:val="002464AC"/>
    <w:rsid w:val="00247BD4"/>
    <w:rsid w:val="0025507D"/>
    <w:rsid w:val="00257AFD"/>
    <w:rsid w:val="0026075E"/>
    <w:rsid w:val="00280D82"/>
    <w:rsid w:val="0028579B"/>
    <w:rsid w:val="002C4BFB"/>
    <w:rsid w:val="002F3995"/>
    <w:rsid w:val="002F74C8"/>
    <w:rsid w:val="00302B7F"/>
    <w:rsid w:val="003262DF"/>
    <w:rsid w:val="00332BA1"/>
    <w:rsid w:val="00342647"/>
    <w:rsid w:val="00343DBD"/>
    <w:rsid w:val="00372945"/>
    <w:rsid w:val="00396D99"/>
    <w:rsid w:val="003C4E65"/>
    <w:rsid w:val="003E3C9A"/>
    <w:rsid w:val="003E4C73"/>
    <w:rsid w:val="003E6881"/>
    <w:rsid w:val="00400016"/>
    <w:rsid w:val="00402685"/>
    <w:rsid w:val="0042298E"/>
    <w:rsid w:val="00425B7A"/>
    <w:rsid w:val="00430094"/>
    <w:rsid w:val="00437462"/>
    <w:rsid w:val="00443915"/>
    <w:rsid w:val="004568B3"/>
    <w:rsid w:val="004744D9"/>
    <w:rsid w:val="00485B24"/>
    <w:rsid w:val="00486E66"/>
    <w:rsid w:val="004B5726"/>
    <w:rsid w:val="004D36A2"/>
    <w:rsid w:val="004D434B"/>
    <w:rsid w:val="004D60F5"/>
    <w:rsid w:val="004E1BA8"/>
    <w:rsid w:val="004E1E39"/>
    <w:rsid w:val="004F38BA"/>
    <w:rsid w:val="00523BB2"/>
    <w:rsid w:val="00540935"/>
    <w:rsid w:val="00557866"/>
    <w:rsid w:val="00557A57"/>
    <w:rsid w:val="005A1933"/>
    <w:rsid w:val="005A2868"/>
    <w:rsid w:val="005B5B34"/>
    <w:rsid w:val="005B7B41"/>
    <w:rsid w:val="005C66F1"/>
    <w:rsid w:val="005C6A2F"/>
    <w:rsid w:val="005D253C"/>
    <w:rsid w:val="005E1E6F"/>
    <w:rsid w:val="005F230E"/>
    <w:rsid w:val="005F66AD"/>
    <w:rsid w:val="00602225"/>
    <w:rsid w:val="006118DA"/>
    <w:rsid w:val="00614BB4"/>
    <w:rsid w:val="00617792"/>
    <w:rsid w:val="00634784"/>
    <w:rsid w:val="00666187"/>
    <w:rsid w:val="006775B1"/>
    <w:rsid w:val="00694624"/>
    <w:rsid w:val="00695857"/>
    <w:rsid w:val="00695EC7"/>
    <w:rsid w:val="006B0455"/>
    <w:rsid w:val="006B0FB8"/>
    <w:rsid w:val="006C2AC2"/>
    <w:rsid w:val="006D32F1"/>
    <w:rsid w:val="006D378E"/>
    <w:rsid w:val="006D4264"/>
    <w:rsid w:val="006E46C6"/>
    <w:rsid w:val="007035F6"/>
    <w:rsid w:val="00712247"/>
    <w:rsid w:val="007237E2"/>
    <w:rsid w:val="00725E6C"/>
    <w:rsid w:val="00730DCF"/>
    <w:rsid w:val="00753BF8"/>
    <w:rsid w:val="00755F25"/>
    <w:rsid w:val="00756978"/>
    <w:rsid w:val="0076711A"/>
    <w:rsid w:val="00771AFB"/>
    <w:rsid w:val="0077648D"/>
    <w:rsid w:val="007A432A"/>
    <w:rsid w:val="007C15D5"/>
    <w:rsid w:val="007E5561"/>
    <w:rsid w:val="007F00CD"/>
    <w:rsid w:val="00803E95"/>
    <w:rsid w:val="00812F5D"/>
    <w:rsid w:val="008356EE"/>
    <w:rsid w:val="00851A2F"/>
    <w:rsid w:val="008731D0"/>
    <w:rsid w:val="008742D7"/>
    <w:rsid w:val="00880485"/>
    <w:rsid w:val="0088659C"/>
    <w:rsid w:val="00892C11"/>
    <w:rsid w:val="00896B25"/>
    <w:rsid w:val="008A3887"/>
    <w:rsid w:val="008B2A79"/>
    <w:rsid w:val="008B4D43"/>
    <w:rsid w:val="008D00C3"/>
    <w:rsid w:val="008D1A6D"/>
    <w:rsid w:val="008E1275"/>
    <w:rsid w:val="008E408A"/>
    <w:rsid w:val="008F253A"/>
    <w:rsid w:val="008F54E8"/>
    <w:rsid w:val="00902829"/>
    <w:rsid w:val="00926FA0"/>
    <w:rsid w:val="0094328E"/>
    <w:rsid w:val="0095553A"/>
    <w:rsid w:val="00960A3F"/>
    <w:rsid w:val="00966279"/>
    <w:rsid w:val="00970982"/>
    <w:rsid w:val="009747E2"/>
    <w:rsid w:val="00986A1D"/>
    <w:rsid w:val="009B48B0"/>
    <w:rsid w:val="009B6AC6"/>
    <w:rsid w:val="009C197E"/>
    <w:rsid w:val="009C41EA"/>
    <w:rsid w:val="009C5D95"/>
    <w:rsid w:val="009D6862"/>
    <w:rsid w:val="009E51CF"/>
    <w:rsid w:val="009F63E3"/>
    <w:rsid w:val="00A030E8"/>
    <w:rsid w:val="00A11358"/>
    <w:rsid w:val="00A32F33"/>
    <w:rsid w:val="00A40D60"/>
    <w:rsid w:val="00A423A9"/>
    <w:rsid w:val="00A72C64"/>
    <w:rsid w:val="00A73547"/>
    <w:rsid w:val="00A74E49"/>
    <w:rsid w:val="00AC6A43"/>
    <w:rsid w:val="00AC7E7F"/>
    <w:rsid w:val="00AD4525"/>
    <w:rsid w:val="00AE6CC9"/>
    <w:rsid w:val="00B0198E"/>
    <w:rsid w:val="00B03041"/>
    <w:rsid w:val="00B07059"/>
    <w:rsid w:val="00B070D6"/>
    <w:rsid w:val="00B1774C"/>
    <w:rsid w:val="00B24D54"/>
    <w:rsid w:val="00B31DFE"/>
    <w:rsid w:val="00B328C4"/>
    <w:rsid w:val="00B3612A"/>
    <w:rsid w:val="00B41969"/>
    <w:rsid w:val="00B468E1"/>
    <w:rsid w:val="00B624CD"/>
    <w:rsid w:val="00B75EA2"/>
    <w:rsid w:val="00B77E76"/>
    <w:rsid w:val="00B91158"/>
    <w:rsid w:val="00B94B3C"/>
    <w:rsid w:val="00B95593"/>
    <w:rsid w:val="00BA12AD"/>
    <w:rsid w:val="00BA35C5"/>
    <w:rsid w:val="00BB575A"/>
    <w:rsid w:val="00BE0745"/>
    <w:rsid w:val="00BE211F"/>
    <w:rsid w:val="00BE25B1"/>
    <w:rsid w:val="00C2364F"/>
    <w:rsid w:val="00C249E9"/>
    <w:rsid w:val="00C32401"/>
    <w:rsid w:val="00C359B8"/>
    <w:rsid w:val="00C4039A"/>
    <w:rsid w:val="00C41600"/>
    <w:rsid w:val="00C77884"/>
    <w:rsid w:val="00CA5973"/>
    <w:rsid w:val="00CA6345"/>
    <w:rsid w:val="00CB3AD4"/>
    <w:rsid w:val="00CC0C0F"/>
    <w:rsid w:val="00CC44DA"/>
    <w:rsid w:val="00CD1EBF"/>
    <w:rsid w:val="00CE6817"/>
    <w:rsid w:val="00CF2BC3"/>
    <w:rsid w:val="00D10A16"/>
    <w:rsid w:val="00D13647"/>
    <w:rsid w:val="00D13A8E"/>
    <w:rsid w:val="00D14724"/>
    <w:rsid w:val="00D16EAB"/>
    <w:rsid w:val="00D21247"/>
    <w:rsid w:val="00D44FC4"/>
    <w:rsid w:val="00D51169"/>
    <w:rsid w:val="00D5407E"/>
    <w:rsid w:val="00D56D9B"/>
    <w:rsid w:val="00D7315D"/>
    <w:rsid w:val="00D8568C"/>
    <w:rsid w:val="00D861D2"/>
    <w:rsid w:val="00D93A59"/>
    <w:rsid w:val="00D976A3"/>
    <w:rsid w:val="00D97868"/>
    <w:rsid w:val="00DA7101"/>
    <w:rsid w:val="00DB25F0"/>
    <w:rsid w:val="00DD2048"/>
    <w:rsid w:val="00DD4D32"/>
    <w:rsid w:val="00DD57CE"/>
    <w:rsid w:val="00DE5915"/>
    <w:rsid w:val="00DE7015"/>
    <w:rsid w:val="00E025BF"/>
    <w:rsid w:val="00E1578C"/>
    <w:rsid w:val="00E72B04"/>
    <w:rsid w:val="00EA74AD"/>
    <w:rsid w:val="00EC4EF5"/>
    <w:rsid w:val="00EC65FB"/>
    <w:rsid w:val="00ED6ECB"/>
    <w:rsid w:val="00EF56E4"/>
    <w:rsid w:val="00F01825"/>
    <w:rsid w:val="00F15E64"/>
    <w:rsid w:val="00F2147A"/>
    <w:rsid w:val="00F33172"/>
    <w:rsid w:val="00F400C6"/>
    <w:rsid w:val="00F41970"/>
    <w:rsid w:val="00F61F97"/>
    <w:rsid w:val="00F73023"/>
    <w:rsid w:val="00F7339B"/>
    <w:rsid w:val="00F857E9"/>
    <w:rsid w:val="00FB0BA0"/>
    <w:rsid w:val="00FB3EEB"/>
    <w:rsid w:val="00FB461B"/>
    <w:rsid w:val="00FC7272"/>
    <w:rsid w:val="00FF51D6"/>
    <w:rsid w:val="00FF5611"/>
    <w:rsid w:val="01D67C07"/>
    <w:rsid w:val="02F72DC8"/>
    <w:rsid w:val="15DD58BE"/>
    <w:rsid w:val="17547F8A"/>
    <w:rsid w:val="19D01360"/>
    <w:rsid w:val="1A552EBE"/>
    <w:rsid w:val="23DA6867"/>
    <w:rsid w:val="2AE46677"/>
    <w:rsid w:val="2DBC69CA"/>
    <w:rsid w:val="319314B9"/>
    <w:rsid w:val="34F8070E"/>
    <w:rsid w:val="382E7F60"/>
    <w:rsid w:val="3FFD1283"/>
    <w:rsid w:val="45870173"/>
    <w:rsid w:val="4633723F"/>
    <w:rsid w:val="59346E91"/>
    <w:rsid w:val="59D337D7"/>
    <w:rsid w:val="5B9E3354"/>
    <w:rsid w:val="5C781AAD"/>
    <w:rsid w:val="607475CD"/>
    <w:rsid w:val="684C396D"/>
    <w:rsid w:val="6903778F"/>
    <w:rsid w:val="727826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style>
  <w:style w:type="paragraph" w:styleId="5">
    <w:name w:val="Body Text"/>
    <w:basedOn w:val="1"/>
    <w:qFormat/>
    <w:uiPriority w:val="0"/>
    <w:pPr>
      <w:widowControl w:val="0"/>
      <w:spacing w:line="160" w:lineRule="exact"/>
      <w:jc w:val="both"/>
    </w:pPr>
    <w:rPr>
      <w:rFonts w:eastAsia="仿宋_GB2312"/>
      <w:color w:val="0000FF"/>
      <w:kern w:val="2"/>
      <w:sz w:val="21"/>
      <w:szCs w:val="20"/>
    </w:rPr>
  </w:style>
  <w:style w:type="paragraph" w:styleId="6">
    <w:name w:val="Balloon Text"/>
    <w:basedOn w:val="1"/>
    <w:link w:val="23"/>
    <w:qFormat/>
    <w:uiPriority w:val="0"/>
    <w:rPr>
      <w:sz w:val="18"/>
      <w:szCs w:val="18"/>
    </w:rPr>
  </w:style>
  <w:style w:type="paragraph" w:styleId="7">
    <w:name w:val="footer"/>
    <w:basedOn w:val="1"/>
    <w:unhideWhenUsed/>
    <w:qFormat/>
    <w:uiPriority w:val="99"/>
    <w:pPr>
      <w:widowControl w:val="0"/>
      <w:tabs>
        <w:tab w:val="center" w:pos="4153"/>
        <w:tab w:val="right" w:pos="8306"/>
      </w:tabs>
      <w:snapToGrid w:val="0"/>
    </w:pPr>
    <w:rPr>
      <w:rFonts w:asciiTheme="minorHAnsi" w:hAnsiTheme="minorHAnsi" w:cstheme="minorBidi"/>
      <w:kern w:val="2"/>
      <w:sz w:val="18"/>
      <w:szCs w:val="18"/>
    </w:rPr>
  </w:style>
  <w:style w:type="paragraph" w:styleId="8">
    <w:name w:val="header"/>
    <w:basedOn w:val="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9">
    <w:name w:val="toc 1"/>
    <w:basedOn w:val="1"/>
    <w:next w:val="1"/>
    <w:unhideWhenUsed/>
    <w:qFormat/>
    <w:uiPriority w:val="39"/>
    <w:pPr>
      <w:tabs>
        <w:tab w:val="left" w:pos="1050"/>
        <w:tab w:val="right" w:leader="dot" w:pos="8296"/>
      </w:tabs>
      <w:spacing w:line="720" w:lineRule="auto"/>
    </w:pPr>
    <w:rPr>
      <w:kern w:val="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5"/>
    <w:qFormat/>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333333"/>
      <w:u w:val="none"/>
    </w:rPr>
  </w:style>
  <w:style w:type="character" w:styleId="16">
    <w:name w:val="Hyperlink"/>
    <w:basedOn w:val="14"/>
    <w:unhideWhenUsed/>
    <w:qFormat/>
    <w:uiPriority w:val="99"/>
    <w:rPr>
      <w:color w:val="0563C1" w:themeColor="hyperlink"/>
      <w:u w:val="single"/>
    </w:rPr>
  </w:style>
  <w:style w:type="character" w:styleId="17">
    <w:name w:val="annotation reference"/>
    <w:basedOn w:val="14"/>
    <w:qFormat/>
    <w:uiPriority w:val="0"/>
    <w:rPr>
      <w:sz w:val="21"/>
      <w:szCs w:val="21"/>
    </w:rPr>
  </w:style>
  <w:style w:type="paragraph" w:customStyle="1" w:styleId="18">
    <w:name w:val="列出段落1"/>
    <w:basedOn w:val="1"/>
    <w:qFormat/>
    <w:uiPriority w:val="99"/>
    <w:pPr>
      <w:widowControl w:val="0"/>
      <w:ind w:firstLine="420" w:firstLineChars="200"/>
      <w:jc w:val="both"/>
    </w:pPr>
    <w:rPr>
      <w:rFonts w:asciiTheme="minorHAnsi" w:hAnsiTheme="minorHAnsi" w:cstheme="minorBidi"/>
      <w:kern w:val="2"/>
      <w:sz w:val="21"/>
      <w:szCs w:val="22"/>
    </w:rPr>
  </w:style>
  <w:style w:type="paragraph" w:customStyle="1" w:styleId="19">
    <w:name w:val="列出段落11"/>
    <w:basedOn w:val="1"/>
    <w:qFormat/>
    <w:uiPriority w:val="34"/>
    <w:pPr>
      <w:widowControl w:val="0"/>
      <w:ind w:firstLine="420" w:firstLineChars="200"/>
      <w:jc w:val="both"/>
    </w:pPr>
    <w:rPr>
      <w:rFonts w:asciiTheme="minorHAnsi" w:hAnsiTheme="minorHAnsi" w:cstheme="minorBidi"/>
      <w:kern w:val="2"/>
      <w:sz w:val="21"/>
      <w:szCs w:val="22"/>
    </w:rPr>
  </w:style>
  <w:style w:type="paragraph" w:styleId="20">
    <w:name w:val="List Paragraph"/>
    <w:basedOn w:val="1"/>
    <w:qFormat/>
    <w:uiPriority w:val="34"/>
    <w:pPr>
      <w:ind w:firstLine="420" w:firstLineChars="200"/>
    </w:pPr>
    <w:rPr>
      <w:kern w:val="2"/>
    </w:rPr>
  </w:style>
  <w:style w:type="paragraph" w:customStyle="1" w:styleId="21">
    <w:name w:val="列出段落21"/>
    <w:basedOn w:val="1"/>
    <w:qFormat/>
    <w:uiPriority w:val="0"/>
    <w:pPr>
      <w:widowControl w:val="0"/>
      <w:ind w:firstLine="420" w:firstLineChars="200"/>
      <w:jc w:val="both"/>
    </w:pPr>
    <w:rPr>
      <w:rFonts w:ascii="等线" w:hAnsi="等线" w:eastAsia="等线"/>
      <w:kern w:val="2"/>
      <w:sz w:val="21"/>
      <w:szCs w:val="21"/>
    </w:rPr>
  </w:style>
  <w:style w:type="paragraph" w:customStyle="1" w:styleId="22">
    <w:name w:val="列出段落2"/>
    <w:basedOn w:val="1"/>
    <w:qFormat/>
    <w:uiPriority w:val="99"/>
    <w:pPr>
      <w:ind w:firstLine="420" w:firstLineChars="200"/>
    </w:pPr>
    <w:rPr>
      <w:kern w:val="2"/>
    </w:rPr>
  </w:style>
  <w:style w:type="character" w:customStyle="1" w:styleId="23">
    <w:name w:val="批注框文本 Char"/>
    <w:basedOn w:val="14"/>
    <w:link w:val="6"/>
    <w:qFormat/>
    <w:uiPriority w:val="0"/>
    <w:rPr>
      <w:rFonts w:eastAsiaTheme="minorEastAsia"/>
      <w:sz w:val="18"/>
      <w:szCs w:val="18"/>
    </w:rPr>
  </w:style>
  <w:style w:type="character" w:customStyle="1" w:styleId="24">
    <w:name w:val="批注文字 Char"/>
    <w:basedOn w:val="14"/>
    <w:link w:val="4"/>
    <w:qFormat/>
    <w:uiPriority w:val="0"/>
    <w:rPr>
      <w:rFonts w:eastAsiaTheme="minorEastAsia"/>
      <w:sz w:val="24"/>
      <w:szCs w:val="24"/>
    </w:rPr>
  </w:style>
  <w:style w:type="character" w:customStyle="1" w:styleId="25">
    <w:name w:val="批注主题 Char"/>
    <w:basedOn w:val="24"/>
    <w:link w:val="11"/>
    <w:qFormat/>
    <w:uiPriority w:val="0"/>
    <w:rPr>
      <w:rFonts w:eastAsiaTheme="minorEastAsia"/>
      <w:b/>
      <w:bCs/>
      <w:sz w:val="24"/>
      <w:szCs w:val="24"/>
    </w:rPr>
  </w:style>
  <w:style w:type="paragraph" w:customStyle="1" w:styleId="26">
    <w:name w:val="修订版本号1"/>
    <w:hidden/>
    <w:unhideWhenUsed/>
    <w:qFormat/>
    <w:uiPriority w:val="99"/>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8C347-10C7-4F56-BFC4-0D4DB81CF177}">
  <ds:schemaRefs/>
</ds:datastoreItem>
</file>

<file path=docProps/app.xml><?xml version="1.0" encoding="utf-8"?>
<Properties xmlns="http://schemas.openxmlformats.org/officeDocument/2006/extended-properties" xmlns:vt="http://schemas.openxmlformats.org/officeDocument/2006/docPropsVTypes">
  <Template>Normal</Template>
  <Pages>24</Pages>
  <Words>1361</Words>
  <Characters>7761</Characters>
  <Lines>64</Lines>
  <Paragraphs>18</Paragraphs>
  <TotalTime>358</TotalTime>
  <ScaleCrop>false</ScaleCrop>
  <LinksUpToDate>false</LinksUpToDate>
  <CharactersWithSpaces>9104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2020-02-20T02:02:00Z</dcterms:created>
  <dc:creator>admin</dc:creator>
  <cp:lastModifiedBy>老马</cp:lastModifiedBy>
  <cp:lastPrinted>2020-05-20T02:14:00Z</cp:lastPrinted>
  <dcterms:modified xsi:type="dcterms:W3CDTF">2020-08-28T02:42:09Z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